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30315" w14:textId="77777777" w:rsidR="00ED1A5A" w:rsidRDefault="003D5058" w:rsidP="0026010B">
      <w:pPr>
        <w:pStyle w:val="Heading1"/>
        <w:pBdr>
          <w:top w:val="single" w:sz="12" w:space="0" w:color="000000"/>
          <w:bottom w:val="single" w:sz="12" w:space="0" w:color="000000"/>
        </w:pBdr>
        <w:shd w:val="clear" w:color="auto" w:fill="E5E5E5"/>
        <w:ind w:left="13" w:right="1" w:hanging="10"/>
        <w:jc w:val="center"/>
      </w:pPr>
      <w:r>
        <w:rPr>
          <w:sz w:val="24"/>
        </w:rPr>
        <w:t xml:space="preserve">Section 1 - </w:t>
      </w:r>
      <w:r w:rsidRPr="0026010B">
        <w:rPr>
          <w:sz w:val="24"/>
          <w:szCs w:val="24"/>
        </w:rPr>
        <w:t>Identification</w:t>
      </w:r>
      <w:r>
        <w:rPr>
          <w:sz w:val="24"/>
        </w:rPr>
        <w:t xml:space="preserve"> of The Material and Supplier </w:t>
      </w:r>
    </w:p>
    <w:tbl>
      <w:tblPr>
        <w:tblStyle w:val="TableGrid"/>
        <w:tblW w:w="10441" w:type="dxa"/>
        <w:tblInd w:w="-108" w:type="dxa"/>
        <w:tblCellMar>
          <w:top w:w="4" w:type="dxa"/>
          <w:bottom w:w="4" w:type="dxa"/>
          <w:right w:w="41" w:type="dxa"/>
        </w:tblCellMar>
        <w:tblLook w:val="04A0" w:firstRow="1" w:lastRow="0" w:firstColumn="1" w:lastColumn="0" w:noHBand="0" w:noVBand="1"/>
      </w:tblPr>
      <w:tblGrid>
        <w:gridCol w:w="6171"/>
        <w:gridCol w:w="4270"/>
      </w:tblGrid>
      <w:tr w:rsidR="0026010B" w14:paraId="7FB202B0" w14:textId="77777777" w:rsidTr="00871678">
        <w:trPr>
          <w:trHeight w:val="295"/>
        </w:trPr>
        <w:tc>
          <w:tcPr>
            <w:tcW w:w="6171" w:type="dxa"/>
            <w:tcBorders>
              <w:top w:val="single" w:sz="12" w:space="0" w:color="000000"/>
              <w:left w:val="single" w:sz="12" w:space="0" w:color="000000"/>
              <w:bottom w:val="nil"/>
              <w:right w:val="nil"/>
            </w:tcBorders>
          </w:tcPr>
          <w:p w14:paraId="54EA2AB3" w14:textId="41CE03E0" w:rsidR="0026010B" w:rsidRDefault="0026010B" w:rsidP="0026010B">
            <w:pPr>
              <w:spacing w:after="0" w:line="259" w:lineRule="auto"/>
              <w:ind w:left="108" w:firstLine="0"/>
            </w:pPr>
            <w:r>
              <w:rPr>
                <w:b/>
                <w:sz w:val="24"/>
              </w:rPr>
              <w:t xml:space="preserve">Sabakem Pty Ltd </w:t>
            </w:r>
          </w:p>
        </w:tc>
        <w:tc>
          <w:tcPr>
            <w:tcW w:w="4270" w:type="dxa"/>
            <w:tcBorders>
              <w:top w:val="single" w:sz="12" w:space="0" w:color="000000"/>
              <w:left w:val="nil"/>
              <w:bottom w:val="nil"/>
              <w:right w:val="single" w:sz="12" w:space="0" w:color="000000"/>
            </w:tcBorders>
          </w:tcPr>
          <w:p w14:paraId="3E027792" w14:textId="5BD18BEC" w:rsidR="0026010B" w:rsidRDefault="0026010B" w:rsidP="00871678">
            <w:pPr>
              <w:spacing w:after="0" w:line="259" w:lineRule="auto"/>
              <w:ind w:left="0" w:firstLine="0"/>
              <w:jc w:val="right"/>
            </w:pPr>
            <w:r>
              <w:rPr>
                <w:b/>
                <w:sz w:val="24"/>
              </w:rPr>
              <w:t>Phone: 03 9629 3979</w:t>
            </w:r>
          </w:p>
        </w:tc>
      </w:tr>
      <w:tr w:rsidR="0026010B" w14:paraId="1AE4B854" w14:textId="77777777" w:rsidTr="00871678">
        <w:trPr>
          <w:trHeight w:val="565"/>
        </w:trPr>
        <w:tc>
          <w:tcPr>
            <w:tcW w:w="6171" w:type="dxa"/>
            <w:tcBorders>
              <w:top w:val="nil"/>
              <w:left w:val="single" w:sz="12" w:space="0" w:color="000000"/>
              <w:bottom w:val="single" w:sz="12" w:space="0" w:color="000000"/>
              <w:right w:val="nil"/>
            </w:tcBorders>
          </w:tcPr>
          <w:p w14:paraId="2693B8F1" w14:textId="77777777" w:rsidR="0026010B" w:rsidRDefault="0026010B" w:rsidP="0026010B">
            <w:pPr>
              <w:spacing w:after="0" w:line="259" w:lineRule="auto"/>
              <w:ind w:left="109" w:firstLine="0"/>
            </w:pPr>
            <w:r>
              <w:rPr>
                <w:b/>
                <w:sz w:val="24"/>
              </w:rPr>
              <w:t xml:space="preserve">Suite 809, Level 8, 2 Queen St </w:t>
            </w:r>
          </w:p>
          <w:p w14:paraId="6B1E144B" w14:textId="0C2ACDD2" w:rsidR="0026010B" w:rsidRDefault="0026010B" w:rsidP="0026010B">
            <w:pPr>
              <w:spacing w:after="0" w:line="259" w:lineRule="auto"/>
              <w:ind w:left="108" w:right="845" w:firstLine="0"/>
            </w:pPr>
            <w:r>
              <w:rPr>
                <w:b/>
                <w:sz w:val="24"/>
              </w:rPr>
              <w:t xml:space="preserve">Melbourne VIC 3000 AUSTRALIA </w:t>
            </w:r>
          </w:p>
        </w:tc>
        <w:tc>
          <w:tcPr>
            <w:tcW w:w="4270" w:type="dxa"/>
            <w:tcBorders>
              <w:top w:val="nil"/>
              <w:left w:val="nil"/>
              <w:bottom w:val="single" w:sz="12" w:space="0" w:color="000000"/>
              <w:right w:val="single" w:sz="12" w:space="0" w:color="000000"/>
            </w:tcBorders>
          </w:tcPr>
          <w:p w14:paraId="226386B0" w14:textId="07083029" w:rsidR="0026010B" w:rsidRPr="002B5B93" w:rsidRDefault="00000000" w:rsidP="00871678">
            <w:pPr>
              <w:spacing w:after="0" w:line="259" w:lineRule="auto"/>
              <w:jc w:val="right"/>
              <w:rPr>
                <w:b/>
                <w:color w:val="0000FF"/>
                <w:sz w:val="24"/>
              </w:rPr>
            </w:pPr>
            <w:hyperlink r:id="rId10" w:history="1">
              <w:r w:rsidR="0026010B" w:rsidRPr="00F82CE2">
                <w:rPr>
                  <w:rStyle w:val="Hyperlink"/>
                  <w:b/>
                  <w:sz w:val="24"/>
                </w:rPr>
                <w:t>www.sabakem.com</w:t>
              </w:r>
            </w:hyperlink>
          </w:p>
          <w:p w14:paraId="452E439D" w14:textId="5F32D44B" w:rsidR="0026010B" w:rsidRDefault="0026010B" w:rsidP="00871678">
            <w:pPr>
              <w:spacing w:after="0" w:line="259" w:lineRule="auto"/>
              <w:ind w:left="0" w:right="66" w:firstLine="0"/>
              <w:jc w:val="right"/>
            </w:pPr>
            <w:r w:rsidRPr="00D116F0">
              <w:rPr>
                <w:b/>
                <w:sz w:val="24"/>
              </w:rPr>
              <w:t>Emergency:</w:t>
            </w:r>
            <w:r w:rsidRPr="005235E2">
              <w:rPr>
                <w:b/>
                <w:sz w:val="24"/>
              </w:rPr>
              <w:t xml:space="preserve"> 1800 033 111</w:t>
            </w:r>
          </w:p>
        </w:tc>
      </w:tr>
    </w:tbl>
    <w:tbl>
      <w:tblPr>
        <w:tblStyle w:val="TableGrid1"/>
        <w:tblW w:w="10442" w:type="dxa"/>
        <w:tblInd w:w="-94" w:type="dxa"/>
        <w:tblLook w:val="04A0" w:firstRow="1" w:lastRow="0" w:firstColumn="1" w:lastColumn="0" w:noHBand="0" w:noVBand="1"/>
      </w:tblPr>
      <w:tblGrid>
        <w:gridCol w:w="2833"/>
        <w:gridCol w:w="7609"/>
      </w:tblGrid>
      <w:tr w:rsidR="00E7538B" w14:paraId="3A84CD98" w14:textId="77777777" w:rsidTr="00E7538B">
        <w:trPr>
          <w:trHeight w:val="279"/>
        </w:trPr>
        <w:tc>
          <w:tcPr>
            <w:tcW w:w="2833" w:type="dxa"/>
            <w:tcBorders>
              <w:top w:val="nil"/>
              <w:left w:val="nil"/>
              <w:bottom w:val="nil"/>
              <w:right w:val="nil"/>
            </w:tcBorders>
          </w:tcPr>
          <w:p w14:paraId="2CFDCC2C" w14:textId="77777777" w:rsidR="00E7538B" w:rsidRDefault="00E7538B" w:rsidP="00323DF4">
            <w:pPr>
              <w:spacing w:after="0" w:line="259" w:lineRule="auto"/>
              <w:ind w:left="0" w:firstLine="0"/>
            </w:pPr>
            <w:r>
              <w:rPr>
                <w:b/>
                <w:sz w:val="22"/>
              </w:rPr>
              <w:t xml:space="preserve">Chemical nature:  </w:t>
            </w:r>
          </w:p>
        </w:tc>
        <w:tc>
          <w:tcPr>
            <w:tcW w:w="7609" w:type="dxa"/>
            <w:tcBorders>
              <w:top w:val="nil"/>
              <w:left w:val="nil"/>
              <w:bottom w:val="nil"/>
              <w:right w:val="nil"/>
            </w:tcBorders>
          </w:tcPr>
          <w:p w14:paraId="1F8E8B5A" w14:textId="2F421319" w:rsidR="00E7538B" w:rsidRDefault="00E7538B" w:rsidP="00323DF4">
            <w:pPr>
              <w:spacing w:after="0" w:line="259" w:lineRule="auto"/>
              <w:ind w:left="0" w:firstLine="0"/>
            </w:pPr>
            <w:r>
              <w:t>Soluble concentrate containing glufosinate-ammonium</w:t>
            </w:r>
          </w:p>
        </w:tc>
      </w:tr>
      <w:tr w:rsidR="00E7538B" w14:paraId="4FEA39C8" w14:textId="77777777" w:rsidTr="00E7538B">
        <w:trPr>
          <w:trHeight w:val="336"/>
        </w:trPr>
        <w:tc>
          <w:tcPr>
            <w:tcW w:w="2833" w:type="dxa"/>
            <w:tcBorders>
              <w:top w:val="nil"/>
              <w:left w:val="nil"/>
              <w:bottom w:val="nil"/>
              <w:right w:val="nil"/>
            </w:tcBorders>
          </w:tcPr>
          <w:p w14:paraId="13D00827" w14:textId="77777777" w:rsidR="00E7538B" w:rsidRDefault="00E7538B" w:rsidP="00323DF4">
            <w:pPr>
              <w:spacing w:after="0" w:line="259" w:lineRule="auto"/>
              <w:ind w:left="0" w:firstLine="0"/>
            </w:pPr>
            <w:r>
              <w:rPr>
                <w:b/>
                <w:sz w:val="22"/>
              </w:rPr>
              <w:t xml:space="preserve">Trade Name:  </w:t>
            </w:r>
          </w:p>
        </w:tc>
        <w:tc>
          <w:tcPr>
            <w:tcW w:w="7609" w:type="dxa"/>
            <w:tcBorders>
              <w:top w:val="nil"/>
              <w:left w:val="nil"/>
              <w:bottom w:val="nil"/>
              <w:right w:val="nil"/>
            </w:tcBorders>
          </w:tcPr>
          <w:p w14:paraId="2ED58208" w14:textId="72586DED" w:rsidR="00E7538B" w:rsidRDefault="00E7538B" w:rsidP="00323DF4">
            <w:pPr>
              <w:spacing w:after="0" w:line="259" w:lineRule="auto"/>
              <w:ind w:left="0" w:firstLine="0"/>
            </w:pPr>
            <w:r>
              <w:rPr>
                <w:b/>
                <w:sz w:val="24"/>
              </w:rPr>
              <w:t>Sabakem Glufosinate 400 Herbicide</w:t>
            </w:r>
          </w:p>
        </w:tc>
      </w:tr>
      <w:tr w:rsidR="00E7538B" w14:paraId="75E0A240" w14:textId="77777777" w:rsidTr="00E7538B">
        <w:trPr>
          <w:trHeight w:val="313"/>
        </w:trPr>
        <w:tc>
          <w:tcPr>
            <w:tcW w:w="2833" w:type="dxa"/>
            <w:tcBorders>
              <w:top w:val="nil"/>
              <w:left w:val="nil"/>
              <w:bottom w:val="nil"/>
              <w:right w:val="nil"/>
            </w:tcBorders>
          </w:tcPr>
          <w:p w14:paraId="67B7956E" w14:textId="77777777" w:rsidR="00E7538B" w:rsidRDefault="00E7538B" w:rsidP="00323DF4">
            <w:pPr>
              <w:spacing w:after="0" w:line="259" w:lineRule="auto"/>
              <w:ind w:left="0" w:firstLine="0"/>
            </w:pPr>
            <w:r>
              <w:rPr>
                <w:b/>
                <w:sz w:val="22"/>
              </w:rPr>
              <w:t xml:space="preserve">APVMA Code: </w:t>
            </w:r>
            <w:r>
              <w:t xml:space="preserve"> </w:t>
            </w:r>
          </w:p>
        </w:tc>
        <w:tc>
          <w:tcPr>
            <w:tcW w:w="7609" w:type="dxa"/>
            <w:tcBorders>
              <w:top w:val="nil"/>
              <w:left w:val="nil"/>
              <w:bottom w:val="nil"/>
              <w:right w:val="nil"/>
            </w:tcBorders>
          </w:tcPr>
          <w:p w14:paraId="08EC8CC2" w14:textId="1D003DF2" w:rsidR="00E7538B" w:rsidRDefault="00E7538B" w:rsidP="00323DF4">
            <w:pPr>
              <w:spacing w:after="0" w:line="259" w:lineRule="auto"/>
              <w:ind w:left="0" w:firstLine="0"/>
            </w:pPr>
            <w:r w:rsidRPr="00E7538B">
              <w:rPr>
                <w:b/>
                <w:sz w:val="22"/>
              </w:rPr>
              <w:t>88062</w:t>
            </w:r>
          </w:p>
        </w:tc>
      </w:tr>
      <w:tr w:rsidR="00E7538B" w14:paraId="1B6A05EC" w14:textId="77777777" w:rsidTr="00E7538B">
        <w:trPr>
          <w:trHeight w:val="313"/>
        </w:trPr>
        <w:tc>
          <w:tcPr>
            <w:tcW w:w="2833" w:type="dxa"/>
            <w:tcBorders>
              <w:top w:val="nil"/>
              <w:left w:val="nil"/>
              <w:bottom w:val="nil"/>
              <w:right w:val="nil"/>
            </w:tcBorders>
          </w:tcPr>
          <w:p w14:paraId="45BD5ECC" w14:textId="77777777" w:rsidR="00E7538B" w:rsidRDefault="00E7538B" w:rsidP="00323DF4">
            <w:pPr>
              <w:spacing w:after="0" w:line="259" w:lineRule="auto"/>
              <w:ind w:left="0" w:firstLine="0"/>
            </w:pPr>
            <w:r>
              <w:rPr>
                <w:b/>
                <w:sz w:val="22"/>
              </w:rPr>
              <w:t xml:space="preserve">Product Use:  </w:t>
            </w:r>
          </w:p>
        </w:tc>
        <w:tc>
          <w:tcPr>
            <w:tcW w:w="7609" w:type="dxa"/>
            <w:tcBorders>
              <w:top w:val="nil"/>
              <w:left w:val="nil"/>
              <w:bottom w:val="nil"/>
              <w:right w:val="nil"/>
            </w:tcBorders>
          </w:tcPr>
          <w:p w14:paraId="0CEA812B" w14:textId="49F675B6" w:rsidR="00E7538B" w:rsidRDefault="00E7538B" w:rsidP="00323DF4">
            <w:pPr>
              <w:spacing w:after="0" w:line="259" w:lineRule="auto"/>
              <w:ind w:left="0" w:firstLine="0"/>
              <w:jc w:val="both"/>
            </w:pPr>
            <w:r w:rsidRPr="00E7538B">
              <w:t xml:space="preserve">Agricultural herbicide for use as described on the product label. </w:t>
            </w:r>
            <w:r w:rsidRPr="00E7538B">
              <w:rPr>
                <w:b/>
              </w:rPr>
              <w:t xml:space="preserve"> </w:t>
            </w:r>
          </w:p>
        </w:tc>
      </w:tr>
      <w:tr w:rsidR="00E7538B" w14:paraId="3FB1C86E" w14:textId="77777777" w:rsidTr="00E7538B">
        <w:trPr>
          <w:trHeight w:val="313"/>
        </w:trPr>
        <w:tc>
          <w:tcPr>
            <w:tcW w:w="2833" w:type="dxa"/>
            <w:tcBorders>
              <w:top w:val="nil"/>
              <w:left w:val="nil"/>
              <w:bottom w:val="nil"/>
              <w:right w:val="nil"/>
            </w:tcBorders>
          </w:tcPr>
          <w:p w14:paraId="4D71E428" w14:textId="77777777" w:rsidR="00E7538B" w:rsidRDefault="00E7538B" w:rsidP="00323DF4">
            <w:pPr>
              <w:spacing w:after="0" w:line="259" w:lineRule="auto"/>
              <w:ind w:left="0" w:firstLine="0"/>
            </w:pPr>
            <w:r>
              <w:rPr>
                <w:b/>
                <w:sz w:val="22"/>
              </w:rPr>
              <w:t xml:space="preserve">Creation Date: </w:t>
            </w:r>
          </w:p>
        </w:tc>
        <w:tc>
          <w:tcPr>
            <w:tcW w:w="7609" w:type="dxa"/>
            <w:tcBorders>
              <w:top w:val="nil"/>
              <w:left w:val="nil"/>
              <w:bottom w:val="nil"/>
              <w:right w:val="nil"/>
            </w:tcBorders>
          </w:tcPr>
          <w:p w14:paraId="254ABFEE" w14:textId="30293D9B" w:rsidR="00E7538B" w:rsidRDefault="00E7538B" w:rsidP="00323DF4">
            <w:pPr>
              <w:spacing w:after="0" w:line="259" w:lineRule="auto"/>
              <w:ind w:left="0" w:firstLine="0"/>
            </w:pPr>
            <w:r w:rsidRPr="00E7538B">
              <w:rPr>
                <w:b/>
                <w:sz w:val="22"/>
              </w:rPr>
              <w:t>September, 2019</w:t>
            </w:r>
          </w:p>
        </w:tc>
      </w:tr>
      <w:tr w:rsidR="00E7538B" w14:paraId="0300D491" w14:textId="77777777" w:rsidTr="00E7538B">
        <w:trPr>
          <w:trHeight w:val="279"/>
        </w:trPr>
        <w:tc>
          <w:tcPr>
            <w:tcW w:w="2833" w:type="dxa"/>
            <w:tcBorders>
              <w:top w:val="nil"/>
              <w:left w:val="nil"/>
              <w:bottom w:val="nil"/>
              <w:right w:val="nil"/>
            </w:tcBorders>
          </w:tcPr>
          <w:p w14:paraId="2262FBEE" w14:textId="77777777" w:rsidR="00E7538B" w:rsidRDefault="00E7538B" w:rsidP="00323DF4">
            <w:pPr>
              <w:spacing w:after="0" w:line="259" w:lineRule="auto"/>
              <w:ind w:left="0" w:firstLine="0"/>
            </w:pPr>
            <w:r>
              <w:rPr>
                <w:b/>
                <w:sz w:val="22"/>
              </w:rPr>
              <w:t xml:space="preserve">This version issued: </w:t>
            </w:r>
          </w:p>
        </w:tc>
        <w:tc>
          <w:tcPr>
            <w:tcW w:w="7609" w:type="dxa"/>
            <w:tcBorders>
              <w:top w:val="nil"/>
              <w:left w:val="nil"/>
              <w:bottom w:val="nil"/>
              <w:right w:val="nil"/>
            </w:tcBorders>
          </w:tcPr>
          <w:p w14:paraId="4A679661" w14:textId="0A9FBD7B" w:rsidR="00E7538B" w:rsidRDefault="008A4CD6" w:rsidP="00323DF4">
            <w:pPr>
              <w:spacing w:after="0" w:line="259" w:lineRule="auto"/>
              <w:ind w:left="0" w:firstLine="0"/>
            </w:pPr>
            <w:r>
              <w:rPr>
                <w:b/>
                <w:sz w:val="22"/>
              </w:rPr>
              <w:t>June</w:t>
            </w:r>
            <w:r w:rsidR="00E7538B">
              <w:rPr>
                <w:b/>
                <w:sz w:val="22"/>
              </w:rPr>
              <w:t>, 2024</w:t>
            </w:r>
            <w:r w:rsidR="00E7538B">
              <w:t xml:space="preserve"> and is valid for 5 years from this date. </w:t>
            </w:r>
          </w:p>
        </w:tc>
      </w:tr>
      <w:tr w:rsidR="00E7538B" w14:paraId="61BD0621" w14:textId="77777777" w:rsidTr="00E7538B">
        <w:trPr>
          <w:trHeight w:val="279"/>
        </w:trPr>
        <w:tc>
          <w:tcPr>
            <w:tcW w:w="2833" w:type="dxa"/>
            <w:tcBorders>
              <w:top w:val="nil"/>
              <w:left w:val="nil"/>
              <w:bottom w:val="nil"/>
              <w:right w:val="nil"/>
            </w:tcBorders>
          </w:tcPr>
          <w:p w14:paraId="51E78389" w14:textId="77777777" w:rsidR="00E7538B" w:rsidRDefault="00E7538B" w:rsidP="00323DF4">
            <w:pPr>
              <w:spacing w:after="0" w:line="259" w:lineRule="auto"/>
              <w:ind w:left="0" w:firstLine="0"/>
              <w:rPr>
                <w:b/>
                <w:sz w:val="22"/>
              </w:rPr>
            </w:pPr>
            <w:r w:rsidRPr="00226902">
              <w:rPr>
                <w:b/>
                <w:sz w:val="22"/>
              </w:rPr>
              <w:t>Emergency telephone</w:t>
            </w:r>
            <w:r>
              <w:rPr>
                <w:b/>
                <w:sz w:val="22"/>
              </w:rPr>
              <w:t>:</w:t>
            </w:r>
          </w:p>
        </w:tc>
        <w:tc>
          <w:tcPr>
            <w:tcW w:w="7609" w:type="dxa"/>
            <w:tcBorders>
              <w:top w:val="nil"/>
              <w:left w:val="nil"/>
              <w:bottom w:val="nil"/>
              <w:right w:val="nil"/>
            </w:tcBorders>
          </w:tcPr>
          <w:p w14:paraId="39ADF5D7" w14:textId="77777777" w:rsidR="00E7538B" w:rsidRDefault="00E7538B" w:rsidP="00323DF4">
            <w:pPr>
              <w:spacing w:after="0" w:line="259" w:lineRule="auto"/>
              <w:ind w:left="0" w:firstLine="0"/>
              <w:rPr>
                <w:b/>
                <w:sz w:val="22"/>
              </w:rPr>
            </w:pPr>
            <w:r w:rsidRPr="00226902">
              <w:rPr>
                <w:b/>
                <w:sz w:val="22"/>
              </w:rPr>
              <w:t>Poisons Information Centre 13 11 26 (24 hours)</w:t>
            </w:r>
          </w:p>
        </w:tc>
      </w:tr>
    </w:tbl>
    <w:p w14:paraId="3C6810BA" w14:textId="77777777" w:rsidR="00ED1A5A" w:rsidRDefault="003D5058" w:rsidP="00E7538B">
      <w:pPr>
        <w:pStyle w:val="Heading1"/>
        <w:pBdr>
          <w:top w:val="single" w:sz="12" w:space="0" w:color="000000"/>
          <w:bottom w:val="single" w:sz="12" w:space="0" w:color="000000"/>
        </w:pBdr>
        <w:shd w:val="clear" w:color="auto" w:fill="E5E5E5"/>
        <w:spacing w:before="120" w:after="148"/>
        <w:ind w:left="28" w:hanging="11"/>
        <w:jc w:val="center"/>
      </w:pPr>
      <w:r>
        <w:rPr>
          <w:sz w:val="24"/>
        </w:rPr>
        <w:t xml:space="preserve">Section 2 - Hazards Identification </w:t>
      </w:r>
    </w:p>
    <w:p w14:paraId="450EDBD3" w14:textId="77777777" w:rsidR="00D7287D" w:rsidRDefault="00D7287D" w:rsidP="00D7287D">
      <w:pPr>
        <w:spacing w:after="1" w:line="259" w:lineRule="auto"/>
        <w:ind w:left="-5"/>
      </w:pPr>
      <w:r>
        <w:rPr>
          <w:b/>
          <w:sz w:val="24"/>
        </w:rPr>
        <w:t xml:space="preserve">Statement of Hazardous Nature </w:t>
      </w:r>
    </w:p>
    <w:p w14:paraId="6613FD26" w14:textId="77777777" w:rsidR="00D7287D" w:rsidRDefault="00D7287D" w:rsidP="00D7287D">
      <w:pPr>
        <w:spacing w:after="82"/>
        <w:ind w:left="-5" w:right="3"/>
      </w:pPr>
      <w:r>
        <w:t xml:space="preserve">This product is classified as hazardous according to the Globally Harmonised System of Classification and Labelling of Chemicals (GHS) and Safe Work Australia criteria. </w:t>
      </w:r>
    </w:p>
    <w:p w14:paraId="27E3904B" w14:textId="77777777" w:rsidR="00D7287D" w:rsidRDefault="00D7287D" w:rsidP="00D7287D">
      <w:pPr>
        <w:ind w:left="-5" w:right="5"/>
      </w:pPr>
      <w:r w:rsidRPr="00796BD7">
        <w:rPr>
          <w:b/>
          <w:sz w:val="22"/>
        </w:rPr>
        <w:t>ADG Classification:</w:t>
      </w:r>
      <w:r w:rsidRPr="00796BD7">
        <w:t xml:space="preserve"> </w:t>
      </w:r>
    </w:p>
    <w:p w14:paraId="22EA4A97" w14:textId="77777777" w:rsidR="00D7287D" w:rsidRPr="00D7287D" w:rsidRDefault="00D7287D" w:rsidP="00D7287D">
      <w:pPr>
        <w:ind w:left="-5" w:right="5"/>
        <w:rPr>
          <w:szCs w:val="20"/>
        </w:rPr>
      </w:pPr>
      <w:r w:rsidRPr="00D7287D">
        <w:rPr>
          <w:szCs w:val="20"/>
        </w:rPr>
        <w:t xml:space="preserve">Not a Dangerous Good according to Australian Dangerous Goods (ADG) Code, IATA or IMDG/IMSBC criteria. </w:t>
      </w:r>
    </w:p>
    <w:p w14:paraId="48229514" w14:textId="77777777" w:rsidR="00D7287D" w:rsidRDefault="00D7287D" w:rsidP="00D7287D">
      <w:pPr>
        <w:spacing w:after="9"/>
        <w:ind w:left="-5"/>
        <w:rPr>
          <w:b/>
          <w:sz w:val="22"/>
        </w:rPr>
      </w:pPr>
    </w:p>
    <w:p w14:paraId="71BE05A4" w14:textId="77777777" w:rsidR="00D7287D" w:rsidRDefault="00D7287D" w:rsidP="00D7287D">
      <w:pPr>
        <w:rPr>
          <w:b/>
          <w:szCs w:val="20"/>
        </w:rPr>
      </w:pPr>
      <w:r w:rsidRPr="008B65D2">
        <w:rPr>
          <w:b/>
          <w:szCs w:val="20"/>
        </w:rPr>
        <w:t>Classification of the substance or mixture:</w:t>
      </w:r>
    </w:p>
    <w:p w14:paraId="21EB5B91" w14:textId="77777777" w:rsidR="00D7287D" w:rsidRPr="008B65D2" w:rsidRDefault="00D7287D" w:rsidP="00D7287D">
      <w:pPr>
        <w:rPr>
          <w:b/>
          <w:szCs w:val="20"/>
        </w:rPr>
      </w:pPr>
    </w:p>
    <w:p w14:paraId="3738233A" w14:textId="11AA1B6F" w:rsidR="00036EB6" w:rsidRPr="00036EB6" w:rsidRDefault="00036EB6" w:rsidP="00036EB6">
      <w:pPr>
        <w:spacing w:after="72"/>
        <w:rPr>
          <w:b/>
          <w:bCs/>
        </w:rPr>
      </w:pPr>
      <w:r w:rsidRPr="00036EB6">
        <w:rPr>
          <w:b/>
          <w:bCs/>
        </w:rPr>
        <w:t xml:space="preserve">Acute Inhalation Toxicity Category </w:t>
      </w:r>
      <w:r>
        <w:rPr>
          <w:b/>
          <w:bCs/>
        </w:rPr>
        <w:t>4</w:t>
      </w:r>
    </w:p>
    <w:p w14:paraId="01B45B1F" w14:textId="77777777" w:rsidR="00036EB6" w:rsidRDefault="00036EB6" w:rsidP="00036EB6">
      <w:pPr>
        <w:spacing w:after="72"/>
        <w:rPr>
          <w:b/>
          <w:bCs/>
        </w:rPr>
      </w:pPr>
      <w:r w:rsidRPr="00036EB6">
        <w:rPr>
          <w:b/>
          <w:bCs/>
        </w:rPr>
        <w:t xml:space="preserve">Reproductive Toxicity </w:t>
      </w:r>
      <w:r>
        <w:rPr>
          <w:b/>
          <w:bCs/>
        </w:rPr>
        <w:t>C</w:t>
      </w:r>
      <w:r w:rsidRPr="00036EB6">
        <w:rPr>
          <w:b/>
          <w:bCs/>
        </w:rPr>
        <w:t>ategory 1B</w:t>
      </w:r>
    </w:p>
    <w:p w14:paraId="6441E020" w14:textId="5A0EB7F7" w:rsidR="00036EB6" w:rsidRPr="00036EB6" w:rsidRDefault="00036EB6" w:rsidP="00036EB6">
      <w:pPr>
        <w:spacing w:after="72"/>
        <w:rPr>
          <w:b/>
          <w:bCs/>
        </w:rPr>
      </w:pPr>
      <w:r w:rsidRPr="00036EB6">
        <w:rPr>
          <w:b/>
          <w:bCs/>
        </w:rPr>
        <w:t xml:space="preserve">Specific Target Organ Toxicity </w:t>
      </w:r>
      <w:r>
        <w:rPr>
          <w:b/>
          <w:bCs/>
        </w:rPr>
        <w:t xml:space="preserve">- </w:t>
      </w:r>
      <w:r w:rsidRPr="00036EB6">
        <w:rPr>
          <w:b/>
          <w:bCs/>
        </w:rPr>
        <w:t>Repeated Exposure Category 2</w:t>
      </w:r>
    </w:p>
    <w:p w14:paraId="4E40162C" w14:textId="77777777" w:rsidR="00036EB6" w:rsidRPr="00036EB6" w:rsidRDefault="00036EB6" w:rsidP="00036EB6">
      <w:pPr>
        <w:spacing w:after="72"/>
        <w:rPr>
          <w:b/>
          <w:bCs/>
        </w:rPr>
      </w:pPr>
    </w:p>
    <w:p w14:paraId="21D11446" w14:textId="11A96126" w:rsidR="00D7287D" w:rsidRDefault="00036EB6" w:rsidP="0065100E">
      <w:pPr>
        <w:spacing w:after="72" w:line="259" w:lineRule="auto"/>
        <w:rPr>
          <w:b/>
          <w:bCs/>
        </w:rPr>
      </w:pPr>
      <w:r>
        <w:rPr>
          <w:noProof/>
        </w:rPr>
        <w:drawing>
          <wp:inline distT="0" distB="0" distL="0" distR="0" wp14:anchorId="3D82AA00" wp14:editId="58C0A1E8">
            <wp:extent cx="725513" cy="720090"/>
            <wp:effectExtent l="0" t="0" r="0" b="0"/>
            <wp:docPr id="1841758256" name="Picture 1841758256" descr="A black exclamation mark in a red diamond&#10;&#10;Description automatically generated"/>
            <wp:cNvGraphicFramePr/>
            <a:graphic xmlns:a="http://schemas.openxmlformats.org/drawingml/2006/main">
              <a:graphicData uri="http://schemas.openxmlformats.org/drawingml/2006/picture">
                <pic:pic xmlns:pic="http://schemas.openxmlformats.org/drawingml/2006/picture">
                  <pic:nvPicPr>
                    <pic:cNvPr id="1841758256" name="Picture 1841758256" descr="A black exclamation mark in a red diamond&#10;&#10;Description automatically generated"/>
                    <pic:cNvPicPr/>
                  </pic:nvPicPr>
                  <pic:blipFill>
                    <a:blip r:embed="rId11"/>
                    <a:stretch>
                      <a:fillRect/>
                    </a:stretch>
                  </pic:blipFill>
                  <pic:spPr>
                    <a:xfrm>
                      <a:off x="0" y="0"/>
                      <a:ext cx="725513" cy="720090"/>
                    </a:xfrm>
                    <a:prstGeom prst="rect">
                      <a:avLst/>
                    </a:prstGeom>
                  </pic:spPr>
                </pic:pic>
              </a:graphicData>
            </a:graphic>
          </wp:inline>
        </w:drawing>
      </w:r>
      <w:r>
        <w:rPr>
          <w:b/>
          <w:bCs/>
        </w:rPr>
        <w:t xml:space="preserve"> </w:t>
      </w:r>
      <w:r w:rsidR="005F6BF5">
        <w:rPr>
          <w:b/>
          <w:bCs/>
        </w:rPr>
        <w:t xml:space="preserve">     </w:t>
      </w:r>
      <w:r>
        <w:rPr>
          <w:b/>
          <w:bCs/>
        </w:rPr>
        <w:t xml:space="preserve"> </w:t>
      </w:r>
      <w:r>
        <w:rPr>
          <w:noProof/>
        </w:rPr>
        <w:drawing>
          <wp:inline distT="0" distB="0" distL="0" distR="0" wp14:anchorId="7FC2A6D8" wp14:editId="6987A3FA">
            <wp:extent cx="725513" cy="720090"/>
            <wp:effectExtent l="0" t="0" r="0" b="0"/>
            <wp:docPr id="76" name="Picture 76" descr="A sign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76" name="Picture 76" descr="A sign with a person in the middle&#10;&#10;Description automatically generated"/>
                    <pic:cNvPicPr/>
                  </pic:nvPicPr>
                  <pic:blipFill>
                    <a:blip r:embed="rId12"/>
                    <a:stretch>
                      <a:fillRect/>
                    </a:stretch>
                  </pic:blipFill>
                  <pic:spPr>
                    <a:xfrm>
                      <a:off x="0" y="0"/>
                      <a:ext cx="725513" cy="720090"/>
                    </a:xfrm>
                    <a:prstGeom prst="rect">
                      <a:avLst/>
                    </a:prstGeom>
                  </pic:spPr>
                </pic:pic>
              </a:graphicData>
            </a:graphic>
          </wp:inline>
        </w:drawing>
      </w:r>
    </w:p>
    <w:p w14:paraId="53072C5E" w14:textId="77777777" w:rsidR="00036EB6" w:rsidRPr="00036EB6" w:rsidRDefault="00036EB6" w:rsidP="00036EB6"/>
    <w:p w14:paraId="036D0F40" w14:textId="3ABFBEF7" w:rsidR="00036EB6" w:rsidRPr="008A4CD6" w:rsidRDefault="00036EB6" w:rsidP="008A4CD6">
      <w:pPr>
        <w:rPr>
          <w:bCs/>
          <w:szCs w:val="28"/>
        </w:rPr>
      </w:pPr>
      <w:r w:rsidRPr="008A4CD6">
        <w:rPr>
          <w:b/>
          <w:bCs/>
          <w:sz w:val="28"/>
          <w:szCs w:val="28"/>
        </w:rPr>
        <w:t>GHS Signal word: DANGER</w:t>
      </w:r>
    </w:p>
    <w:p w14:paraId="61793BAF" w14:textId="77777777" w:rsidR="00036EB6" w:rsidRPr="00653E82" w:rsidRDefault="00036EB6" w:rsidP="00036EB6">
      <w:pPr>
        <w:spacing w:after="120" w:line="247" w:lineRule="auto"/>
        <w:ind w:left="11" w:hanging="11"/>
      </w:pPr>
    </w:p>
    <w:p w14:paraId="36097564" w14:textId="77777777" w:rsidR="00036EB6" w:rsidRDefault="00036EB6" w:rsidP="00036EB6">
      <w:pPr>
        <w:spacing w:after="0" w:line="259" w:lineRule="auto"/>
        <w:ind w:left="-5"/>
        <w:rPr>
          <w:b/>
          <w:sz w:val="22"/>
        </w:rPr>
      </w:pPr>
      <w:r w:rsidRPr="00901AF9">
        <w:rPr>
          <w:b/>
          <w:sz w:val="22"/>
        </w:rPr>
        <w:t>HAZARD STATEMENT</w:t>
      </w:r>
      <w:r>
        <w:rPr>
          <w:b/>
          <w:sz w:val="22"/>
        </w:rPr>
        <w:t>(S)</w:t>
      </w:r>
      <w:r w:rsidRPr="00901AF9">
        <w:rPr>
          <w:b/>
          <w:sz w:val="22"/>
        </w:rPr>
        <w:t>:</w:t>
      </w:r>
    </w:p>
    <w:p w14:paraId="2D77A4B9" w14:textId="12CD443A" w:rsidR="00036EB6" w:rsidRDefault="00036EB6" w:rsidP="00036EB6">
      <w:pPr>
        <w:ind w:left="576"/>
      </w:pPr>
      <w:r>
        <w:t>H332: Harmful if inhaled.</w:t>
      </w:r>
    </w:p>
    <w:p w14:paraId="53D5B6E4" w14:textId="15BBD6E5" w:rsidR="00036EB6" w:rsidRDefault="00036EB6" w:rsidP="00036EB6">
      <w:pPr>
        <w:ind w:left="576"/>
      </w:pPr>
      <w:r>
        <w:t>H360: May damage fertility or the unborn child.</w:t>
      </w:r>
    </w:p>
    <w:p w14:paraId="01C84DBB" w14:textId="036CF747" w:rsidR="00036EB6" w:rsidRDefault="00036EB6" w:rsidP="00036EB6">
      <w:pPr>
        <w:ind w:left="576"/>
      </w:pPr>
      <w:r>
        <w:t xml:space="preserve">H373: May cause damage to organs through prolonged or repeated exposure. </w:t>
      </w:r>
    </w:p>
    <w:p w14:paraId="7C5AA7C4" w14:textId="77777777" w:rsidR="00036EB6" w:rsidRDefault="00036EB6" w:rsidP="00036EB6">
      <w:pPr>
        <w:spacing w:after="0" w:line="259" w:lineRule="auto"/>
        <w:ind w:left="-5"/>
        <w:rPr>
          <w:b/>
          <w:sz w:val="22"/>
        </w:rPr>
      </w:pPr>
    </w:p>
    <w:p w14:paraId="3CE30A2F" w14:textId="77777777" w:rsidR="00036EB6" w:rsidRPr="00DE41DF" w:rsidRDefault="00036EB6" w:rsidP="00036EB6">
      <w:pPr>
        <w:spacing w:after="0" w:line="259" w:lineRule="auto"/>
        <w:ind w:left="-5" w:right="3636"/>
        <w:rPr>
          <w:b/>
          <w:sz w:val="22"/>
        </w:rPr>
      </w:pPr>
      <w:r w:rsidRPr="00DE41DF">
        <w:rPr>
          <w:b/>
          <w:sz w:val="22"/>
        </w:rPr>
        <w:t>PRECAUTIONARY STATEMENT(S):</w:t>
      </w:r>
    </w:p>
    <w:p w14:paraId="6D0A80EB" w14:textId="77777777" w:rsidR="00036EB6" w:rsidRPr="00E21AFC" w:rsidRDefault="00036EB6" w:rsidP="00036EB6">
      <w:pPr>
        <w:spacing w:after="0" w:line="259" w:lineRule="auto"/>
        <w:ind w:left="-5"/>
        <w:rPr>
          <w:b/>
          <w:sz w:val="22"/>
        </w:rPr>
      </w:pPr>
      <w:r w:rsidRPr="00E21AFC">
        <w:rPr>
          <w:b/>
          <w:sz w:val="22"/>
        </w:rPr>
        <w:t>PREVENTION</w:t>
      </w:r>
    </w:p>
    <w:p w14:paraId="12B80BCB" w14:textId="0ABA7BC2" w:rsidR="002A7A15" w:rsidRPr="002A7A15" w:rsidRDefault="002A7A15">
      <w:pPr>
        <w:ind w:left="577"/>
      </w:pPr>
      <w:r w:rsidRPr="002A7A15">
        <w:t>P201: Obtain special instructions before use.</w:t>
      </w:r>
    </w:p>
    <w:p w14:paraId="24DE99AE" w14:textId="2F2A8942" w:rsidR="002A7A15" w:rsidRPr="002A7A15" w:rsidRDefault="002A7A15">
      <w:pPr>
        <w:ind w:left="577"/>
      </w:pPr>
      <w:r w:rsidRPr="002A7A15">
        <w:t>P202: Do not handle until all safety precautions have been read and understood.</w:t>
      </w:r>
    </w:p>
    <w:p w14:paraId="51E8AE52" w14:textId="3868BB1A" w:rsidR="00ED1A5A" w:rsidRPr="002A7A15" w:rsidRDefault="003D5058">
      <w:pPr>
        <w:ind w:left="577"/>
      </w:pPr>
      <w:r w:rsidRPr="002A7A15">
        <w:t xml:space="preserve">P260: Do not breathe fumes, mists, vapours or spray. </w:t>
      </w:r>
    </w:p>
    <w:p w14:paraId="3E018559" w14:textId="2AE47847" w:rsidR="00ED1A5A" w:rsidRPr="002A7A15" w:rsidRDefault="003D5058">
      <w:pPr>
        <w:ind w:left="577"/>
      </w:pPr>
      <w:r w:rsidRPr="002A7A15">
        <w:t xml:space="preserve">P271: Use only outdoors or in a </w:t>
      </w:r>
      <w:r w:rsidR="00004CB8" w:rsidRPr="002A7A15">
        <w:t>well-ventilated</w:t>
      </w:r>
      <w:r w:rsidRPr="002A7A15">
        <w:t xml:space="preserve"> area. </w:t>
      </w:r>
    </w:p>
    <w:p w14:paraId="5B6586F0" w14:textId="27DEEE97" w:rsidR="00ED1A5A" w:rsidRDefault="003D5058">
      <w:pPr>
        <w:ind w:left="577" w:right="2335"/>
      </w:pPr>
      <w:r w:rsidRPr="002A7A15">
        <w:t>P280: Wear protective</w:t>
      </w:r>
      <w:r>
        <w:t xml:space="preserve"> gloves, protective clothing and eye or face protection. </w:t>
      </w:r>
    </w:p>
    <w:p w14:paraId="60F69CB2" w14:textId="77777777" w:rsidR="00ED1A5A" w:rsidRDefault="003D5058" w:rsidP="000D2FA7">
      <w:pPr>
        <w:spacing w:after="0" w:line="259" w:lineRule="auto"/>
        <w:ind w:left="-5"/>
      </w:pPr>
      <w:r w:rsidRPr="000D2FA7">
        <w:rPr>
          <w:b/>
          <w:sz w:val="22"/>
        </w:rPr>
        <w:t>RESPONSE</w:t>
      </w:r>
      <w:r>
        <w:t xml:space="preserve"> </w:t>
      </w:r>
    </w:p>
    <w:p w14:paraId="16693180" w14:textId="4270C252" w:rsidR="00FF1EBF" w:rsidRPr="002A7A15" w:rsidRDefault="00FF1EBF">
      <w:pPr>
        <w:ind w:left="577"/>
      </w:pPr>
      <w:r w:rsidRPr="002A7A15">
        <w:t>P312: Call a POISON CENTRE or doctor if you feel unwell.</w:t>
      </w:r>
    </w:p>
    <w:p w14:paraId="6FE64E00" w14:textId="686F71AF" w:rsidR="00ED1A5A" w:rsidRPr="002A7A15" w:rsidRDefault="003D5058">
      <w:pPr>
        <w:ind w:left="577"/>
      </w:pPr>
      <w:r w:rsidRPr="002A7A15">
        <w:t xml:space="preserve">P314: Get medical advice or attention if you feel unwell. </w:t>
      </w:r>
    </w:p>
    <w:p w14:paraId="164ED0FF" w14:textId="56F117DB" w:rsidR="00ED1A5A" w:rsidRPr="002A7A15" w:rsidRDefault="003D5058">
      <w:pPr>
        <w:ind w:left="577"/>
      </w:pPr>
      <w:r w:rsidRPr="002A7A15">
        <w:t xml:space="preserve">P304+P340: IF INHALED: Remove victim to fresh air and keep at rest in a position comfortable for breathing. </w:t>
      </w:r>
    </w:p>
    <w:p w14:paraId="68B4723E" w14:textId="77777777" w:rsidR="00ED1A5A" w:rsidRPr="002A7A15" w:rsidRDefault="003D5058">
      <w:pPr>
        <w:ind w:left="577"/>
      </w:pPr>
      <w:r w:rsidRPr="002A7A15">
        <w:t xml:space="preserve">P308+P313: If exposed or concerned: Get medical advice. </w:t>
      </w:r>
    </w:p>
    <w:p w14:paraId="0AF555A2" w14:textId="77777777" w:rsidR="00ED1A5A" w:rsidRDefault="003D5058" w:rsidP="000D2FA7">
      <w:pPr>
        <w:spacing w:after="0" w:line="259" w:lineRule="auto"/>
        <w:ind w:left="-5"/>
      </w:pPr>
      <w:r w:rsidRPr="000D2FA7">
        <w:rPr>
          <w:b/>
          <w:sz w:val="22"/>
        </w:rPr>
        <w:lastRenderedPageBreak/>
        <w:t>STORAGE</w:t>
      </w:r>
      <w:r>
        <w:t xml:space="preserve"> </w:t>
      </w:r>
    </w:p>
    <w:p w14:paraId="4904E465" w14:textId="5BBAC9DC" w:rsidR="002A7A15" w:rsidRDefault="002A7A15">
      <w:pPr>
        <w:ind w:left="577"/>
      </w:pPr>
      <w:r w:rsidRPr="002A7A15">
        <w:t>P405: Store</w:t>
      </w:r>
      <w:r>
        <w:t xml:space="preserve"> locked up.</w:t>
      </w:r>
    </w:p>
    <w:p w14:paraId="0C7F37DD" w14:textId="77777777" w:rsidR="00ED1A5A" w:rsidRDefault="003D5058" w:rsidP="000D2FA7">
      <w:pPr>
        <w:spacing w:after="0" w:line="259" w:lineRule="auto"/>
        <w:ind w:left="-5"/>
      </w:pPr>
      <w:r w:rsidRPr="000D2FA7">
        <w:rPr>
          <w:b/>
          <w:sz w:val="22"/>
        </w:rPr>
        <w:t>DISPOSAL</w:t>
      </w:r>
      <w:r>
        <w:rPr>
          <w:b/>
        </w:rPr>
        <w:t xml:space="preserve"> </w:t>
      </w:r>
    </w:p>
    <w:p w14:paraId="078ED365" w14:textId="77777777" w:rsidR="00ED1A5A" w:rsidRDefault="003D5058">
      <w:pPr>
        <w:spacing w:after="122"/>
        <w:ind w:left="577"/>
      </w:pPr>
      <w:r w:rsidRPr="002A7A15">
        <w:t>P501: Dispose of contents</w:t>
      </w:r>
      <w:r>
        <w:t xml:space="preserve"> and containers as specified on the registered label.  </w:t>
      </w:r>
    </w:p>
    <w:p w14:paraId="71D44AAF"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3 - Composition/Information on Ingredients </w:t>
      </w:r>
    </w:p>
    <w:tbl>
      <w:tblPr>
        <w:tblStyle w:val="TableGrid"/>
        <w:tblW w:w="10432" w:type="dxa"/>
        <w:tblInd w:w="-3" w:type="dxa"/>
        <w:tblCellMar>
          <w:top w:w="8" w:type="dxa"/>
          <w:right w:w="193" w:type="dxa"/>
        </w:tblCellMar>
        <w:tblLook w:val="04A0" w:firstRow="1" w:lastRow="0" w:firstColumn="1" w:lastColumn="0" w:noHBand="0" w:noVBand="1"/>
      </w:tblPr>
      <w:tblGrid>
        <w:gridCol w:w="10432"/>
      </w:tblGrid>
      <w:tr w:rsidR="002D77EE" w14:paraId="3CE2A91F" w14:textId="77777777" w:rsidTr="00323DF4">
        <w:trPr>
          <w:trHeight w:val="254"/>
        </w:trPr>
        <w:tc>
          <w:tcPr>
            <w:tcW w:w="10432" w:type="dxa"/>
            <w:tcBorders>
              <w:top w:val="nil"/>
              <w:left w:val="nil"/>
              <w:bottom w:val="nil"/>
              <w:right w:val="nil"/>
            </w:tcBorders>
            <w:shd w:val="clear" w:color="auto" w:fill="E6E6E6"/>
          </w:tcPr>
          <w:p w14:paraId="7485678E" w14:textId="478AC7D4" w:rsidR="002D77EE" w:rsidRDefault="002D77EE" w:rsidP="00323DF4">
            <w:pPr>
              <w:spacing w:after="0" w:line="259" w:lineRule="auto"/>
              <w:ind w:left="0" w:firstLine="0"/>
            </w:pPr>
            <w:r w:rsidRPr="00E37432">
              <w:rPr>
                <w:b/>
                <w:sz w:val="22"/>
              </w:rPr>
              <w:t>Ingredients                                                         CAS No</w:t>
            </w:r>
            <w:r w:rsidRPr="00E37432">
              <w:rPr>
                <w:b/>
                <w:sz w:val="22"/>
              </w:rPr>
              <w:tab/>
              <w:t xml:space="preserve">                      </w:t>
            </w:r>
            <w:r>
              <w:rPr>
                <w:b/>
                <w:sz w:val="22"/>
              </w:rPr>
              <w:t xml:space="preserve">     </w:t>
            </w:r>
            <w:r w:rsidRPr="00E37432">
              <w:rPr>
                <w:b/>
                <w:sz w:val="22"/>
              </w:rPr>
              <w:t>Conc. (%</w:t>
            </w:r>
            <w:r w:rsidR="003608A8">
              <w:rPr>
                <w:b/>
                <w:sz w:val="22"/>
              </w:rPr>
              <w:t xml:space="preserve"> w/v</w:t>
            </w:r>
            <w:r w:rsidRPr="00E37432">
              <w:rPr>
                <w:b/>
                <w:sz w:val="22"/>
              </w:rPr>
              <w:t>)</w:t>
            </w:r>
          </w:p>
        </w:tc>
      </w:tr>
    </w:tbl>
    <w:p w14:paraId="5E7EF1E3" w14:textId="33AB34F8" w:rsidR="002D77EE" w:rsidRDefault="002D77EE" w:rsidP="002D77EE">
      <w:pPr>
        <w:tabs>
          <w:tab w:val="center" w:pos="4992"/>
          <w:tab w:val="center" w:pos="5977"/>
          <w:tab w:val="center" w:pos="7529"/>
          <w:tab w:val="center" w:pos="9087"/>
        </w:tabs>
        <w:spacing w:after="58"/>
        <w:ind w:left="-15" w:firstLine="0"/>
      </w:pPr>
      <w:r w:rsidRPr="002D77EE">
        <w:t xml:space="preserve">Glufosinate-ammonium </w:t>
      </w:r>
      <w:r w:rsidRPr="002D77EE">
        <w:tab/>
        <w:t>77182-82-2</w:t>
      </w:r>
      <w:r>
        <w:tab/>
        <w:t xml:space="preserve">                                        40.0 </w:t>
      </w:r>
      <w:r>
        <w:tab/>
        <w:t xml:space="preserve"> </w:t>
      </w:r>
    </w:p>
    <w:p w14:paraId="47127352" w14:textId="77777777" w:rsidR="002D77EE" w:rsidRDefault="002D77EE" w:rsidP="002D77EE">
      <w:pPr>
        <w:spacing w:after="0" w:line="240" w:lineRule="auto"/>
        <w:ind w:left="-5" w:right="5"/>
        <w:rPr>
          <w:sz w:val="18"/>
          <w:szCs w:val="18"/>
        </w:rPr>
      </w:pPr>
      <w:r w:rsidRPr="00BC503B">
        <w:rPr>
          <w:sz w:val="18"/>
          <w:szCs w:val="18"/>
        </w:rPr>
        <w:t>Other components are not considered hazardous in this formulation and therefore are not required to be disclosed according to the WHS Regulations.</w:t>
      </w:r>
    </w:p>
    <w:p w14:paraId="6F3DD12B" w14:textId="77777777" w:rsidR="004B0581" w:rsidRPr="00980ECA" w:rsidRDefault="004B0581" w:rsidP="002D77EE">
      <w:pPr>
        <w:spacing w:after="0" w:line="240" w:lineRule="auto"/>
        <w:ind w:left="-5" w:right="5"/>
        <w:rPr>
          <w:sz w:val="18"/>
          <w:szCs w:val="18"/>
        </w:rPr>
      </w:pPr>
    </w:p>
    <w:p w14:paraId="25C94684"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4 - First Aid Measures </w:t>
      </w:r>
    </w:p>
    <w:p w14:paraId="35A30800" w14:textId="77777777" w:rsidR="00ED1A5A" w:rsidRDefault="003D5058">
      <w:pPr>
        <w:spacing w:after="0" w:line="259" w:lineRule="auto"/>
        <w:ind w:left="-5"/>
      </w:pPr>
      <w:r>
        <w:rPr>
          <w:b/>
          <w:sz w:val="24"/>
        </w:rPr>
        <w:t xml:space="preserve">General Information: </w:t>
      </w:r>
    </w:p>
    <w:p w14:paraId="4A76BDDE" w14:textId="77777777" w:rsidR="00ED1A5A" w:rsidRDefault="003D5058">
      <w:pPr>
        <w:spacing w:after="91"/>
        <w:ind w:left="-5"/>
      </w:pPr>
      <w:r>
        <w:t xml:space="preserve">You should call The Poisons Information Centre if you feel that you may have been poisoned, burned or irritated by this product. The number is 13 1126 from anywhere in Australia (0800 764 766 in New Zealand) and is available at all times. Have this SDS with you when you call.  </w:t>
      </w:r>
    </w:p>
    <w:p w14:paraId="485ECDA2" w14:textId="77777777" w:rsidR="00ED1A5A" w:rsidRDefault="003D5058" w:rsidP="00DF1B4D">
      <w:pPr>
        <w:spacing w:after="91"/>
        <w:ind w:left="-5"/>
      </w:pPr>
      <w:r>
        <w:rPr>
          <w:b/>
          <w:sz w:val="22"/>
        </w:rPr>
        <w:t xml:space="preserve">Inhalation: </w:t>
      </w:r>
      <w:r>
        <w:t xml:space="preserve">If symptoms of poisoning become evident, contact a Poisons Information Centre, or call a doctor at once. Remove source of contamination or move victim to fresh air. If breathing is difficult, oxygen may be beneficial if administered by trained personnel, preferably on a doctor's advice. DO NOT allow victim to move about unnecessarily. Symptoms of pulmonary oedema can be delayed up to 48 hours after exposure.  </w:t>
      </w:r>
    </w:p>
    <w:p w14:paraId="78038D79" w14:textId="77777777" w:rsidR="00ED1A5A" w:rsidRDefault="003D5058" w:rsidP="00DF1B4D">
      <w:pPr>
        <w:spacing w:after="91"/>
        <w:ind w:left="-5"/>
      </w:pPr>
      <w:r>
        <w:rPr>
          <w:b/>
          <w:sz w:val="22"/>
        </w:rPr>
        <w:t xml:space="preserve">Skin Contact: </w:t>
      </w:r>
      <w:r>
        <w:t xml:space="preserve">Wash gently and thoroughly with warm water (use non-abrasive soap if necessary) for 10-20 minutes or until product is removed. Under running water, remove contaminated clothing, shoes and leather goods (e.g. watchbands and belts) and completely decontaminate them before reuse or discard. If irritation persists, repeat flushing and seek medical attention.  </w:t>
      </w:r>
    </w:p>
    <w:p w14:paraId="3B57620E" w14:textId="4CC1B7CC" w:rsidR="00ED1A5A" w:rsidRDefault="003D5058" w:rsidP="00DF1B4D">
      <w:pPr>
        <w:spacing w:after="91"/>
        <w:ind w:left="-5"/>
      </w:pPr>
      <w:r>
        <w:rPr>
          <w:b/>
          <w:sz w:val="22"/>
        </w:rPr>
        <w:t xml:space="preserve">Eye Contact: </w:t>
      </w:r>
      <w:r>
        <w:t>Immediately flush the contaminated eye(s) with lukewarm, gently flowing water for 15 minutes or until the product is removed, while holding the eyelid(s) open. Take care not to rinse contaminated water into the unaffected eye or onto the face. Obtain medical attention immediately</w:t>
      </w:r>
      <w:r w:rsidR="006027A7">
        <w:t xml:space="preserve"> if irritation persists.</w:t>
      </w:r>
      <w:r>
        <w:t xml:space="preserve"> Take special care if exposed person is wearing contact lenses.  </w:t>
      </w:r>
    </w:p>
    <w:p w14:paraId="225979BF" w14:textId="77777777" w:rsidR="00ED1A5A" w:rsidRDefault="003D5058" w:rsidP="00DF1B4D">
      <w:pPr>
        <w:spacing w:after="91"/>
        <w:ind w:left="-5"/>
      </w:pPr>
      <w:r>
        <w:rPr>
          <w:b/>
          <w:sz w:val="22"/>
        </w:rPr>
        <w:t xml:space="preserve">Ingestion: </w:t>
      </w:r>
      <w:r>
        <w:t xml:space="preserve">If swallowed, do NOT induce vomiting. Wash mouth with water and contact a Poisons Information Centre, or call a doctor. </w:t>
      </w:r>
    </w:p>
    <w:p w14:paraId="34CA6EEC" w14:textId="77777777" w:rsidR="006027A7" w:rsidRDefault="006027A7" w:rsidP="006027A7">
      <w:pPr>
        <w:spacing w:after="139"/>
        <w:ind w:left="-5"/>
      </w:pPr>
      <w:r>
        <w:rPr>
          <w:b/>
          <w:sz w:val="22"/>
        </w:rPr>
        <w:t xml:space="preserve">First Aid Facilities: </w:t>
      </w:r>
      <w:r w:rsidRPr="00CF590F">
        <w:rPr>
          <w:szCs w:val="20"/>
        </w:rPr>
        <w:t>Eyewash and normal washroom facilities</w:t>
      </w:r>
      <w:r>
        <w:rPr>
          <w:szCs w:val="20"/>
        </w:rPr>
        <w:t>.</w:t>
      </w:r>
      <w:r>
        <w:t xml:space="preserve"> </w:t>
      </w:r>
      <w:r w:rsidRPr="003046A2">
        <w:t>Safety deluge showers should, if practical, be provided near to where this product is being used.</w:t>
      </w:r>
    </w:p>
    <w:p w14:paraId="0570A8C6" w14:textId="53E03692" w:rsidR="002A7A15" w:rsidRPr="002A7A15" w:rsidRDefault="002A7A15" w:rsidP="00DF1B4D">
      <w:pPr>
        <w:spacing w:after="91"/>
        <w:ind w:left="-5"/>
      </w:pPr>
      <w:r w:rsidRPr="002A7A15">
        <w:rPr>
          <w:b/>
        </w:rPr>
        <w:t xml:space="preserve">Major Health Hazards: </w:t>
      </w:r>
      <w:r w:rsidR="00DF1B4D" w:rsidRPr="00DF1B4D">
        <w:rPr>
          <w:bCs/>
        </w:rPr>
        <w:t>M</w:t>
      </w:r>
      <w:r w:rsidRPr="002A7A15">
        <w:t xml:space="preserve">ay impair fertility, harmful </w:t>
      </w:r>
      <w:r w:rsidR="00BB7DA9">
        <w:t>if</w:t>
      </w:r>
      <w:r w:rsidRPr="002A7A15">
        <w:t xml:space="preserve"> inhal</w:t>
      </w:r>
      <w:r w:rsidR="00BB7DA9">
        <w:t>ed</w:t>
      </w:r>
      <w:r w:rsidR="00FA644E">
        <w:t xml:space="preserve"> </w:t>
      </w:r>
      <w:r w:rsidR="00BB7DA9">
        <w:t>or</w:t>
      </w:r>
      <w:r w:rsidRPr="002A7A15">
        <w:t xml:space="preserve"> if swallowed</w:t>
      </w:r>
      <w:r w:rsidR="00FA644E">
        <w:t>. May</w:t>
      </w:r>
      <w:r w:rsidRPr="002A7A15">
        <w:t xml:space="preserve"> irritat</w:t>
      </w:r>
      <w:r w:rsidR="00FA644E">
        <w:t>e</w:t>
      </w:r>
      <w:r w:rsidRPr="002A7A15">
        <w:t xml:space="preserve"> to eyes and skin</w:t>
      </w:r>
      <w:r w:rsidR="00FA644E">
        <w:t xml:space="preserve"> and a </w:t>
      </w:r>
      <w:r w:rsidRPr="002A7A15">
        <w:t xml:space="preserve">possible risk of harm to the unborn child.  </w:t>
      </w:r>
    </w:p>
    <w:p w14:paraId="5DA052E0"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5 - Fire Fighting Measures </w:t>
      </w:r>
    </w:p>
    <w:p w14:paraId="56D12428" w14:textId="77777777" w:rsidR="00D13599" w:rsidRDefault="003D5058" w:rsidP="00D13599">
      <w:pPr>
        <w:ind w:left="-5"/>
      </w:pPr>
      <w:r>
        <w:rPr>
          <w:b/>
          <w:sz w:val="22"/>
        </w:rPr>
        <w:t>Fire and Explosion Hazards</w:t>
      </w:r>
      <w:r>
        <w:t xml:space="preserve">: The major hazard in fires is usually inhalation of heated and toxic or oxygen deficient (or both), fire gases. There is no risk of an explosion from this product under normal circumstances if it is involved in a fire. Fire decomposition products from this product may be toxic if inhaled. Take appropriate protective measures. </w:t>
      </w:r>
    </w:p>
    <w:p w14:paraId="3065070C" w14:textId="77777777" w:rsidR="00D13599" w:rsidRDefault="00D13599" w:rsidP="00D13599">
      <w:pPr>
        <w:spacing w:after="139"/>
        <w:ind w:left="-5"/>
      </w:pPr>
      <w:r w:rsidRPr="00472F94">
        <w:t>Flammability</w:t>
      </w:r>
      <w:r w:rsidRPr="00151AC5">
        <w:rPr>
          <w:bCs/>
        </w:rPr>
        <w:t xml:space="preserve"> </w:t>
      </w:r>
      <w:r w:rsidRPr="0006475D">
        <w:t>Class</w:t>
      </w:r>
      <w:r>
        <w:t>: No data.</w:t>
      </w:r>
    </w:p>
    <w:p w14:paraId="22FA5BB6" w14:textId="28AC76B5" w:rsidR="00D13599" w:rsidRDefault="00D13599" w:rsidP="001D1032">
      <w:pPr>
        <w:spacing w:after="139"/>
        <w:ind w:left="-5"/>
      </w:pPr>
      <w:r>
        <w:rPr>
          <w:b/>
          <w:sz w:val="22"/>
        </w:rPr>
        <w:t>Suitable Extinguishing Media</w:t>
      </w:r>
      <w:r>
        <w:rPr>
          <w:b/>
        </w:rPr>
        <w:t xml:space="preserve">: </w:t>
      </w:r>
      <w:r>
        <w:t xml:space="preserve">In case of fire, use carbon dioxide, dry chemical, foam or water fog. </w:t>
      </w:r>
    </w:p>
    <w:p w14:paraId="799D079E" w14:textId="77777777" w:rsidR="00D13599" w:rsidRPr="00B35D28" w:rsidRDefault="00D13599" w:rsidP="00D13599">
      <w:pPr>
        <w:spacing w:after="139"/>
        <w:ind w:left="-5"/>
        <w:rPr>
          <w:bCs/>
        </w:rPr>
      </w:pPr>
      <w:r w:rsidRPr="00182A64">
        <w:rPr>
          <w:b/>
          <w:sz w:val="22"/>
        </w:rPr>
        <w:t>Special Protective</w:t>
      </w:r>
      <w:r>
        <w:rPr>
          <w:b/>
          <w:sz w:val="22"/>
        </w:rPr>
        <w:t xml:space="preserve"> </w:t>
      </w:r>
      <w:r w:rsidRPr="00182A64">
        <w:rPr>
          <w:b/>
          <w:sz w:val="22"/>
        </w:rPr>
        <w:t>Equipment</w:t>
      </w:r>
      <w:r>
        <w:rPr>
          <w:b/>
          <w:sz w:val="22"/>
        </w:rPr>
        <w:t xml:space="preserve"> </w:t>
      </w:r>
      <w:r w:rsidRPr="002F7A44">
        <w:rPr>
          <w:b/>
          <w:sz w:val="22"/>
        </w:rPr>
        <w:t>and Precautions</w:t>
      </w:r>
      <w:r>
        <w:rPr>
          <w:b/>
          <w:sz w:val="22"/>
        </w:rPr>
        <w:t xml:space="preserve"> for Fire Fighters</w:t>
      </w:r>
      <w:r>
        <w:rPr>
          <w:b/>
        </w:rPr>
        <w:t xml:space="preserve">: </w:t>
      </w:r>
      <w:r w:rsidRPr="0006475D">
        <w:t>When</w:t>
      </w:r>
      <w:r w:rsidRPr="0025736B">
        <w:rPr>
          <w:bCs/>
        </w:rPr>
        <w:t xml:space="preserve"> fighting a major fire wear self-contained </w:t>
      </w:r>
      <w:r w:rsidRPr="00F1745A">
        <w:t>breathing</w:t>
      </w:r>
      <w:r w:rsidRPr="0025736B">
        <w:rPr>
          <w:bCs/>
        </w:rPr>
        <w:t xml:space="preserve"> apparatus and </w:t>
      </w:r>
      <w:r w:rsidRPr="00EB3453">
        <w:t>protective</w:t>
      </w:r>
      <w:r w:rsidRPr="0025736B">
        <w:rPr>
          <w:bCs/>
        </w:rPr>
        <w:t xml:space="preserve"> </w:t>
      </w:r>
      <w:r w:rsidRPr="00A61215">
        <w:t>equipment</w:t>
      </w:r>
      <w:r>
        <w:rPr>
          <w:bCs/>
        </w:rPr>
        <w:t>.</w:t>
      </w:r>
    </w:p>
    <w:tbl>
      <w:tblPr>
        <w:tblStyle w:val="TableGrid10"/>
        <w:tblW w:w="7919" w:type="dxa"/>
        <w:tblInd w:w="0" w:type="dxa"/>
        <w:tblCellMar>
          <w:top w:w="2" w:type="dxa"/>
        </w:tblCellMar>
        <w:tblLook w:val="04A0" w:firstRow="1" w:lastRow="0" w:firstColumn="1" w:lastColumn="0" w:noHBand="0" w:noVBand="1"/>
      </w:tblPr>
      <w:tblGrid>
        <w:gridCol w:w="1843"/>
        <w:gridCol w:w="6076"/>
      </w:tblGrid>
      <w:tr w:rsidR="00D13599" w14:paraId="6F5FF3CD" w14:textId="77777777" w:rsidTr="00323DF4">
        <w:trPr>
          <w:trHeight w:val="257"/>
        </w:trPr>
        <w:tc>
          <w:tcPr>
            <w:tcW w:w="1843" w:type="dxa"/>
            <w:tcBorders>
              <w:top w:val="nil"/>
              <w:left w:val="nil"/>
              <w:bottom w:val="nil"/>
              <w:right w:val="nil"/>
            </w:tcBorders>
          </w:tcPr>
          <w:p w14:paraId="183A2293" w14:textId="77777777" w:rsidR="00D13599" w:rsidRPr="000C71AC" w:rsidRDefault="00D13599" w:rsidP="00323DF4">
            <w:pPr>
              <w:spacing w:after="0" w:line="240" w:lineRule="auto"/>
              <w:ind w:left="-5" w:right="5"/>
            </w:pPr>
            <w:r w:rsidRPr="00BC503B">
              <w:rPr>
                <w:b/>
                <w:sz w:val="22"/>
              </w:rPr>
              <w:t>Hazchem Code:</w:t>
            </w:r>
            <w:r>
              <w:t xml:space="preserve"> </w:t>
            </w:r>
          </w:p>
        </w:tc>
        <w:tc>
          <w:tcPr>
            <w:tcW w:w="6076" w:type="dxa"/>
            <w:tcBorders>
              <w:top w:val="nil"/>
              <w:left w:val="nil"/>
              <w:bottom w:val="nil"/>
              <w:right w:val="nil"/>
            </w:tcBorders>
          </w:tcPr>
          <w:p w14:paraId="094D23B8" w14:textId="69AF58E1" w:rsidR="00D13599" w:rsidRDefault="00CB0C17" w:rsidP="008A4CD6">
            <w:pPr>
              <w:spacing w:after="0" w:line="259" w:lineRule="auto"/>
              <w:jc w:val="both"/>
            </w:pPr>
            <w:r>
              <w:t>None</w:t>
            </w:r>
          </w:p>
        </w:tc>
      </w:tr>
    </w:tbl>
    <w:p w14:paraId="5E6C58B9" w14:textId="360CC550" w:rsidR="00ED1A5A" w:rsidRDefault="003D5058">
      <w:pPr>
        <w:ind w:left="-5"/>
      </w:pPr>
      <w:r>
        <w:t xml:space="preserve"> </w:t>
      </w:r>
    </w:p>
    <w:p w14:paraId="22D9DB8B"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6 - Accidental Release Measures </w:t>
      </w:r>
    </w:p>
    <w:p w14:paraId="235FDBDE" w14:textId="0687ED25" w:rsidR="00320325" w:rsidRDefault="00320325" w:rsidP="00320325">
      <w:pPr>
        <w:spacing w:after="137"/>
        <w:ind w:left="-5"/>
      </w:pPr>
      <w:bookmarkStart w:id="0" w:name="_Hlk170199914"/>
      <w:r>
        <w:rPr>
          <w:b/>
          <w:sz w:val="22"/>
          <w:lang w:val="en-GB"/>
        </w:rPr>
        <w:t>Environmental precautions:</w:t>
      </w:r>
      <w:r>
        <w:rPr>
          <w:lang w:val="en-GB"/>
        </w:rPr>
        <w:t xml:space="preserve"> </w:t>
      </w:r>
      <w:r>
        <w:t>In the event of a major spill, prevent spillage from entering drains or water courses</w:t>
      </w:r>
      <w:r>
        <w:t xml:space="preserve"> </w:t>
      </w:r>
      <w:r>
        <w:rPr>
          <w:kern w:val="0"/>
          <w14:ligatures w14:val="none"/>
        </w:rPr>
        <w:t>with absorbent material.</w:t>
      </w:r>
      <w:r>
        <w:t xml:space="preserve"> </w:t>
      </w:r>
    </w:p>
    <w:p w14:paraId="6B80E50A" w14:textId="20D5D37F" w:rsidR="00287FA1" w:rsidRDefault="00320325" w:rsidP="00320325">
      <w:pPr>
        <w:spacing w:after="137"/>
        <w:ind w:left="-5"/>
      </w:pPr>
      <w:bookmarkStart w:id="1" w:name="_Hlk170199932"/>
      <w:bookmarkEnd w:id="0"/>
      <w:r>
        <w:rPr>
          <w:b/>
          <w:kern w:val="0"/>
          <w:sz w:val="22"/>
          <w14:ligatures w14:val="none"/>
        </w:rPr>
        <w:lastRenderedPageBreak/>
        <w:t>Methods and materials for containment and cleaning up:</w:t>
      </w:r>
      <w:bookmarkEnd w:id="1"/>
      <w:r>
        <w:rPr>
          <w:b/>
          <w:kern w:val="0"/>
          <w14:ligatures w14:val="none"/>
        </w:rPr>
        <w:t xml:space="preserve"> </w:t>
      </w:r>
      <w:r w:rsidR="00287FA1">
        <w:t xml:space="preserve">Stop leak if safe to do so and contain spill. Absorb onto sand, vermiculite or other suitable absorbent material. If spill is too large or if absorbent material is not available, try to create a dike to stop material spreading or going into drains or waterways. Sweep up and shovel or collect recoverable product into labelled containers for recycling or salvage and dispose of promptly. Recycle containers wherever possible after careful cleaning. Refer to product label for specific instructions. After spills, wash area preventing runoff from entering drains. Full details regarding disposal of used containers, spillage and unused material may be found on the label. If there is any conflict between this SDS and the label, instructions on the label prevail. Ensure legality of disposal by consulting regulations prior to </w:t>
      </w:r>
      <w:r w:rsidR="00287FA1" w:rsidRPr="00320325">
        <w:rPr>
          <w:kern w:val="0"/>
          <w14:ligatures w14:val="none"/>
        </w:rPr>
        <w:t>disposal</w:t>
      </w:r>
      <w:r w:rsidR="00287FA1">
        <w:t xml:space="preserve">. </w:t>
      </w:r>
    </w:p>
    <w:p w14:paraId="4ADFA3F2" w14:textId="408D180A" w:rsidR="00287FA1" w:rsidRDefault="00320325" w:rsidP="00287FA1">
      <w:pPr>
        <w:spacing w:after="86"/>
        <w:ind w:left="-5"/>
      </w:pPr>
      <w:r>
        <w:rPr>
          <w:b/>
          <w:kern w:val="0"/>
          <w:sz w:val="22"/>
          <w14:ligatures w14:val="none"/>
        </w:rPr>
        <w:t>Personal precautions, protective equipment and emergency procedures:</w:t>
      </w:r>
      <w:r>
        <w:rPr>
          <w:kern w:val="0"/>
          <w14:ligatures w14:val="none"/>
        </w:rPr>
        <w:t xml:space="preserve"> </w:t>
      </w:r>
      <w:r w:rsidR="00287FA1" w:rsidRPr="000563A1">
        <w:t>Wear full protective chemically resistant clothing including eye/face protection, gauntlets and self-contained breathing apparatus</w:t>
      </w:r>
      <w:r w:rsidR="00287FA1">
        <w:t>.</w:t>
      </w:r>
      <w:r w:rsidR="00287FA1" w:rsidRPr="00EE4813">
        <w:t xml:space="preserve"> </w:t>
      </w:r>
      <w:r w:rsidR="00287FA1">
        <w:t>Suitable materials for protective clothing include PVC, Nitrile.</w:t>
      </w:r>
      <w:r w:rsidR="00287FA1" w:rsidRPr="000563A1">
        <w:t xml:space="preserve"> Use impermeable gloves with care. Eye/face protective equipment should comprise, as a minimum, protective goggles.</w:t>
      </w:r>
      <w:r w:rsidR="00287FA1">
        <w:t xml:space="preserve"> Usually, no respirator is necessary when using this product however, if there is a significant chance that vapours or mists are likely to build up in the cleanup area, we recommend that you use a suitable respirator.</w:t>
      </w:r>
      <w:r w:rsidR="00287FA1" w:rsidRPr="004A1AD7">
        <w:t xml:space="preserve"> </w:t>
      </w:r>
      <w:r w:rsidR="00287FA1">
        <w:t xml:space="preserve">Refer to section 8 </w:t>
      </w:r>
      <w:r w:rsidR="00287FA1" w:rsidRPr="00FF7F21">
        <w:rPr>
          <w:bCs/>
          <w:szCs w:val="20"/>
        </w:rPr>
        <w:t>of this SDS for details of personal protective measures, and make sure that those measures are followe</w:t>
      </w:r>
      <w:r w:rsidR="00287FA1">
        <w:rPr>
          <w:bCs/>
          <w:szCs w:val="20"/>
        </w:rPr>
        <w:t xml:space="preserve">d. </w:t>
      </w:r>
      <w:r w:rsidR="00287FA1">
        <w:t>Thoroughly launder protective clothing before storage or re-use. Advise laundry of nature of contamination when sending contaminated clothing to laundry.</w:t>
      </w:r>
    </w:p>
    <w:p w14:paraId="414162BA" w14:textId="04755895" w:rsidR="00422862" w:rsidRDefault="00422862" w:rsidP="00422862">
      <w:pPr>
        <w:spacing w:after="137"/>
        <w:ind w:left="-5"/>
      </w:pPr>
      <w:r>
        <w:t>If a significant quantity of material enters drains, advise emergency services.</w:t>
      </w:r>
    </w:p>
    <w:p w14:paraId="5F3A6DAA"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7 - Handling and Storage </w:t>
      </w:r>
    </w:p>
    <w:p w14:paraId="645588C2" w14:textId="56CC5F37" w:rsidR="00ED1A5A" w:rsidRDefault="00D860BE" w:rsidP="00D134C3">
      <w:pPr>
        <w:spacing w:after="86"/>
        <w:ind w:left="-5"/>
      </w:pPr>
      <w:r w:rsidRPr="00093225">
        <w:rPr>
          <w:b/>
          <w:sz w:val="22"/>
        </w:rPr>
        <w:t>Precautions for Safe</w:t>
      </w:r>
      <w:r>
        <w:rPr>
          <w:b/>
          <w:sz w:val="22"/>
        </w:rPr>
        <w:t xml:space="preserve"> Handling</w:t>
      </w:r>
      <w:r>
        <w:rPr>
          <w:b/>
        </w:rPr>
        <w:t xml:space="preserve">: </w:t>
      </w:r>
      <w:r>
        <w:t xml:space="preserve">Keep exposure to this product to a minimum, and minimise the quantities kept in work areas. Check Section 8 of this SDS for details of personal protective measures, and make sure that those measures are followed. The measures detailed below under "Storage" should be followed during handling in order to minimise risks to persons using the product in the workplace. Also, avoid contact or contamination of product with incompatible materials listed in Section 10. </w:t>
      </w:r>
      <w:r>
        <w:rPr>
          <w:b/>
        </w:rPr>
        <w:t xml:space="preserve"> </w:t>
      </w:r>
    </w:p>
    <w:p w14:paraId="406C6C5E" w14:textId="78591E09" w:rsidR="00ED1A5A" w:rsidRDefault="00D134C3" w:rsidP="00D134C3">
      <w:pPr>
        <w:spacing w:after="144"/>
        <w:ind w:left="-5"/>
      </w:pPr>
      <w:r w:rsidRPr="00093225">
        <w:rPr>
          <w:b/>
          <w:sz w:val="22"/>
        </w:rPr>
        <w:t xml:space="preserve">Conditions for Safe </w:t>
      </w:r>
      <w:r>
        <w:rPr>
          <w:b/>
          <w:sz w:val="22"/>
        </w:rPr>
        <w:t>Storage</w:t>
      </w:r>
      <w:r>
        <w:rPr>
          <w:b/>
        </w:rPr>
        <w:t xml:space="preserve">: </w:t>
      </w:r>
      <w:r>
        <w:t xml:space="preserve">This product is a Scheduled Poison. Observe all relevant regulations regarding sale, transport and storage of this schedule of poison. Store in the closed original container in a dry, cool, well-ventilated area out of direct sunlight. Some liquid preparations settle or separate on standing and may require stirring before use. Check packaging - there may be further storage instructions on the label. </w:t>
      </w:r>
      <w:r>
        <w:rPr>
          <w:b/>
        </w:rPr>
        <w:t xml:space="preserve">  </w:t>
      </w:r>
    </w:p>
    <w:p w14:paraId="1A862F96"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8 - Exposure Controls and Personal Protection </w:t>
      </w:r>
    </w:p>
    <w:p w14:paraId="5978FC31" w14:textId="77777777" w:rsidR="00D55247" w:rsidRDefault="00D55247" w:rsidP="00D55247">
      <w:pPr>
        <w:spacing w:after="50"/>
        <w:ind w:left="-5" w:right="5"/>
      </w:pPr>
      <w:r w:rsidRPr="00BC503B">
        <w:rPr>
          <w:b/>
          <w:sz w:val="22"/>
        </w:rPr>
        <w:t>Exposure Standards:</w:t>
      </w:r>
      <w:r>
        <w:rPr>
          <w:b/>
          <w:sz w:val="22"/>
        </w:rPr>
        <w:t xml:space="preserve"> </w:t>
      </w:r>
      <w:r>
        <w:t xml:space="preserve">Exposure limits have not been established by SWA for any of the significant ingredients in this product. </w:t>
      </w:r>
    </w:p>
    <w:p w14:paraId="116FC330" w14:textId="77777777" w:rsidR="00D55247" w:rsidRDefault="00D55247" w:rsidP="00D55247">
      <w:pPr>
        <w:spacing w:after="50"/>
        <w:ind w:left="-5" w:right="5"/>
      </w:pPr>
      <w:r w:rsidRPr="00BC503B">
        <w:rPr>
          <w:b/>
          <w:sz w:val="22"/>
        </w:rPr>
        <w:t>Engineering Controls:</w:t>
      </w:r>
      <w:r>
        <w:t xml:space="preserve"> Ensure adequate ventilation of the working area.</w:t>
      </w:r>
    </w:p>
    <w:p w14:paraId="079FC4AF" w14:textId="06F1AA06" w:rsidR="00D55247" w:rsidRDefault="00D55247" w:rsidP="00D55247">
      <w:pPr>
        <w:spacing w:after="139"/>
        <w:ind w:left="-5"/>
      </w:pPr>
      <w:r w:rsidRPr="00BC503B">
        <w:rPr>
          <w:b/>
          <w:sz w:val="22"/>
        </w:rPr>
        <w:t>Respiratory Protection:</w:t>
      </w:r>
      <w:r>
        <w:t xml:space="preserve"> </w:t>
      </w:r>
      <w:r>
        <w:rPr>
          <w:szCs w:val="20"/>
        </w:rPr>
        <w:t xml:space="preserve">Ensure </w:t>
      </w:r>
      <w:r>
        <w:t xml:space="preserve">the work environment remains clean and that vapours and mists are minimised. </w:t>
      </w:r>
      <w:r w:rsidRPr="00951544">
        <w:t xml:space="preserve">If ventilation is inadequate, suitable respiratory protection should be worn, consult </w:t>
      </w:r>
      <w:r w:rsidRPr="00C914A5">
        <w:t>AS/NZS 1715 and AS/NZS 1716 for further information</w:t>
      </w:r>
      <w:r w:rsidRPr="00951544">
        <w:t>.</w:t>
      </w:r>
    </w:p>
    <w:p w14:paraId="1749228D" w14:textId="77777777" w:rsidR="00D55247" w:rsidRDefault="00D55247" w:rsidP="00D55247">
      <w:pPr>
        <w:spacing w:after="139"/>
        <w:ind w:left="-5"/>
      </w:pPr>
      <w:r>
        <w:rPr>
          <w:b/>
          <w:sz w:val="22"/>
        </w:rPr>
        <w:t xml:space="preserve">Eye and Face Protection: </w:t>
      </w:r>
      <w:r>
        <w:t>Eye protection such as protective glasses or goggles should be worn when this product is being used. See Australian/New Zealand Standard Industrial Eye Protection</w:t>
      </w:r>
      <w:r w:rsidRPr="00DF563F">
        <w:t xml:space="preserve">: </w:t>
      </w:r>
      <w:r w:rsidRPr="0025736B">
        <w:t>AS1336</w:t>
      </w:r>
      <w:r w:rsidRPr="00DF563F">
        <w:t xml:space="preserve"> and </w:t>
      </w:r>
      <w:r w:rsidRPr="0025736B">
        <w:t>AS/NZS 1337</w:t>
      </w:r>
      <w:r w:rsidRPr="00DF563F">
        <w:t xml:space="preserve"> for more</w:t>
      </w:r>
      <w:r w:rsidRPr="00BC503B">
        <w:rPr>
          <w:bCs/>
        </w:rPr>
        <w:t xml:space="preserve"> inf</w:t>
      </w:r>
      <w:r w:rsidRPr="00DF563F">
        <w:t>ormation</w:t>
      </w:r>
      <w:r w:rsidRPr="00BC503B">
        <w:rPr>
          <w:bCs/>
        </w:rPr>
        <w:t>.</w:t>
      </w:r>
      <w:r>
        <w:rPr>
          <w:bCs/>
        </w:rPr>
        <w:t xml:space="preserve"> </w:t>
      </w:r>
      <w:r>
        <w:t xml:space="preserve">Failure to protect your eyes may cause them harm. Emergency eye wash facilities should be provided in an area close to where this product is being used. </w:t>
      </w:r>
    </w:p>
    <w:p w14:paraId="6BBF3ECE" w14:textId="44255724" w:rsidR="00D55247" w:rsidRDefault="00D55247" w:rsidP="00D55247">
      <w:pPr>
        <w:spacing w:after="139"/>
        <w:ind w:left="-5"/>
      </w:pPr>
      <w:r w:rsidRPr="00023F8F">
        <w:rPr>
          <w:b/>
          <w:sz w:val="22"/>
        </w:rPr>
        <w:t xml:space="preserve">Skin Protection: </w:t>
      </w:r>
      <w:r w:rsidRPr="00AA0DE4">
        <w:t xml:space="preserve">Make sure that all skin areas are covered. </w:t>
      </w:r>
      <w:r w:rsidRPr="00023F8F">
        <w:t>Prevent skin contact</w:t>
      </w:r>
      <w:r>
        <w:t xml:space="preserve"> by wearing impervious gloves, clothes and, preferably, apron. PVC or rubber gloves. See Australian/New Zealand Standard AS/NZS 2161 for more information. When selecting gloves for use against certain chemicals, the degradation resistance, permeation rate and permeation breakthrough time should be considered. Occupational protective clothing (depending on conditions in which it has to be used, in particular as regards the period for which it is worn, which shall be determined on the basis of the seriousness of the risk, the frequency of exposure to the risk, the characteristics of the workstation of each worker and the performance of the protective clothing). See Australian/New Zealand Standard</w:t>
      </w:r>
      <w:r w:rsidRPr="003046A2">
        <w:t xml:space="preserve"> </w:t>
      </w:r>
      <w:r>
        <w:t xml:space="preserve">Occupational Protective Clothing:  AS/NZS 4501 and </w:t>
      </w:r>
      <w:r w:rsidRPr="003046A2">
        <w:t>Occupational Protective Footwear: AS/NZS2210</w:t>
      </w:r>
      <w:r>
        <w:t xml:space="preserve"> for more information.  </w:t>
      </w:r>
    </w:p>
    <w:p w14:paraId="572A99F8" w14:textId="7A87E33A" w:rsidR="002E1893" w:rsidRPr="002E1893" w:rsidRDefault="002E1893"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w:t>
      </w:r>
      <w:r>
        <w:rPr>
          <w:sz w:val="24"/>
          <w:szCs w:val="24"/>
        </w:rPr>
        <w:t>9</w:t>
      </w:r>
      <w:r w:rsidRPr="002E1893">
        <w:rPr>
          <w:sz w:val="24"/>
          <w:szCs w:val="24"/>
        </w:rPr>
        <w:t xml:space="preserve"> - Physical and Chemical Properties</w:t>
      </w:r>
    </w:p>
    <w:tbl>
      <w:tblPr>
        <w:tblStyle w:val="TableGrid"/>
        <w:tblW w:w="10493" w:type="dxa"/>
        <w:tblInd w:w="-29" w:type="dxa"/>
        <w:tblCellMar>
          <w:top w:w="3" w:type="dxa"/>
          <w:right w:w="19" w:type="dxa"/>
        </w:tblCellMar>
        <w:tblLook w:val="04A0" w:firstRow="1" w:lastRow="0" w:firstColumn="1" w:lastColumn="0" w:noHBand="0" w:noVBand="1"/>
      </w:tblPr>
      <w:tblGrid>
        <w:gridCol w:w="3224"/>
        <w:gridCol w:w="7269"/>
      </w:tblGrid>
      <w:tr w:rsidR="00ED1A5A" w14:paraId="585F90DE" w14:textId="77777777">
        <w:trPr>
          <w:trHeight w:val="338"/>
        </w:trPr>
        <w:tc>
          <w:tcPr>
            <w:tcW w:w="3224" w:type="dxa"/>
            <w:tcBorders>
              <w:top w:val="single" w:sz="12" w:space="0" w:color="000000"/>
              <w:left w:val="nil"/>
              <w:bottom w:val="nil"/>
              <w:right w:val="nil"/>
            </w:tcBorders>
          </w:tcPr>
          <w:p w14:paraId="49590184" w14:textId="77777777" w:rsidR="00ED1A5A" w:rsidRDefault="003D5058">
            <w:pPr>
              <w:spacing w:after="0" w:line="259" w:lineRule="auto"/>
              <w:ind w:left="29" w:firstLine="0"/>
              <w:jc w:val="both"/>
            </w:pPr>
            <w:r>
              <w:rPr>
                <w:b/>
                <w:sz w:val="22"/>
              </w:rPr>
              <w:t>Physical Description &amp; colour</w:t>
            </w:r>
            <w:r>
              <w:t>:</w:t>
            </w:r>
          </w:p>
        </w:tc>
        <w:tc>
          <w:tcPr>
            <w:tcW w:w="7269" w:type="dxa"/>
            <w:tcBorders>
              <w:top w:val="single" w:sz="12" w:space="0" w:color="000000"/>
              <w:left w:val="nil"/>
              <w:bottom w:val="nil"/>
              <w:right w:val="nil"/>
            </w:tcBorders>
          </w:tcPr>
          <w:p w14:paraId="769BF6FF" w14:textId="77777777" w:rsidR="00ED1A5A" w:rsidRDefault="003D5058">
            <w:pPr>
              <w:tabs>
                <w:tab w:val="center" w:pos="1642"/>
              </w:tabs>
              <w:spacing w:after="0" w:line="259" w:lineRule="auto"/>
              <w:ind w:left="-22" w:firstLine="0"/>
            </w:pPr>
            <w:r>
              <w:t xml:space="preserve"> </w:t>
            </w:r>
            <w:r>
              <w:tab/>
              <w:t xml:space="preserve">Liquid, no data regarding colour. </w:t>
            </w:r>
          </w:p>
        </w:tc>
      </w:tr>
      <w:tr w:rsidR="00ED1A5A" w14:paraId="2B4854D6" w14:textId="77777777">
        <w:trPr>
          <w:trHeight w:val="253"/>
        </w:trPr>
        <w:tc>
          <w:tcPr>
            <w:tcW w:w="3224" w:type="dxa"/>
            <w:tcBorders>
              <w:top w:val="nil"/>
              <w:left w:val="nil"/>
              <w:bottom w:val="nil"/>
              <w:right w:val="nil"/>
            </w:tcBorders>
          </w:tcPr>
          <w:p w14:paraId="654574C8" w14:textId="77777777" w:rsidR="00ED1A5A" w:rsidRDefault="003D5058">
            <w:pPr>
              <w:spacing w:after="0" w:line="259" w:lineRule="auto"/>
              <w:ind w:left="29" w:firstLine="0"/>
            </w:pPr>
            <w:r>
              <w:rPr>
                <w:b/>
                <w:sz w:val="22"/>
              </w:rPr>
              <w:t xml:space="preserve">Odour: </w:t>
            </w:r>
            <w:r>
              <w:t xml:space="preserve"> </w:t>
            </w:r>
          </w:p>
        </w:tc>
        <w:tc>
          <w:tcPr>
            <w:tcW w:w="7269" w:type="dxa"/>
            <w:tcBorders>
              <w:top w:val="nil"/>
              <w:left w:val="nil"/>
              <w:bottom w:val="nil"/>
              <w:right w:val="nil"/>
            </w:tcBorders>
          </w:tcPr>
          <w:p w14:paraId="349DF838" w14:textId="77777777" w:rsidR="00ED1A5A" w:rsidRDefault="003D5058">
            <w:pPr>
              <w:spacing w:after="0" w:line="259" w:lineRule="auto"/>
              <w:ind w:left="209" w:firstLine="0"/>
            </w:pPr>
            <w:r>
              <w:t xml:space="preserve">No data. </w:t>
            </w:r>
          </w:p>
        </w:tc>
      </w:tr>
      <w:tr w:rsidR="00ED1A5A" w14:paraId="334AFEDF" w14:textId="77777777">
        <w:trPr>
          <w:trHeight w:val="252"/>
        </w:trPr>
        <w:tc>
          <w:tcPr>
            <w:tcW w:w="3224" w:type="dxa"/>
            <w:tcBorders>
              <w:top w:val="nil"/>
              <w:left w:val="nil"/>
              <w:bottom w:val="nil"/>
              <w:right w:val="nil"/>
            </w:tcBorders>
          </w:tcPr>
          <w:p w14:paraId="10EB5D14" w14:textId="77777777" w:rsidR="00ED1A5A" w:rsidRDefault="003D5058">
            <w:pPr>
              <w:spacing w:after="0" w:line="259" w:lineRule="auto"/>
              <w:ind w:left="29" w:firstLine="0"/>
            </w:pPr>
            <w:r>
              <w:rPr>
                <w:b/>
                <w:sz w:val="22"/>
              </w:rPr>
              <w:lastRenderedPageBreak/>
              <w:t xml:space="preserve">Boiling Point: </w:t>
            </w:r>
            <w:r>
              <w:t xml:space="preserve"> </w:t>
            </w:r>
          </w:p>
        </w:tc>
        <w:tc>
          <w:tcPr>
            <w:tcW w:w="7269" w:type="dxa"/>
            <w:tcBorders>
              <w:top w:val="nil"/>
              <w:left w:val="nil"/>
              <w:bottom w:val="nil"/>
              <w:right w:val="nil"/>
            </w:tcBorders>
          </w:tcPr>
          <w:p w14:paraId="305E78BF" w14:textId="77777777" w:rsidR="00ED1A5A" w:rsidRDefault="003D5058">
            <w:pPr>
              <w:spacing w:after="0" w:line="259" w:lineRule="auto"/>
              <w:ind w:left="209" w:firstLine="0"/>
            </w:pPr>
            <w:r>
              <w:t xml:space="preserve">Not available. </w:t>
            </w:r>
          </w:p>
        </w:tc>
      </w:tr>
      <w:tr w:rsidR="00703860" w14:paraId="12787E73" w14:textId="77777777">
        <w:trPr>
          <w:trHeight w:val="252"/>
        </w:trPr>
        <w:tc>
          <w:tcPr>
            <w:tcW w:w="3224" w:type="dxa"/>
            <w:tcBorders>
              <w:top w:val="nil"/>
              <w:left w:val="nil"/>
              <w:bottom w:val="nil"/>
              <w:right w:val="nil"/>
            </w:tcBorders>
          </w:tcPr>
          <w:p w14:paraId="4457C09E" w14:textId="67150ECA" w:rsidR="00703860" w:rsidRDefault="00703860">
            <w:pPr>
              <w:spacing w:after="0" w:line="259" w:lineRule="auto"/>
              <w:ind w:left="29" w:firstLine="0"/>
              <w:rPr>
                <w:b/>
                <w:sz w:val="22"/>
              </w:rPr>
            </w:pPr>
            <w:r>
              <w:rPr>
                <w:b/>
                <w:sz w:val="22"/>
              </w:rPr>
              <w:t>Flash Point:</w:t>
            </w:r>
          </w:p>
        </w:tc>
        <w:tc>
          <w:tcPr>
            <w:tcW w:w="7269" w:type="dxa"/>
            <w:tcBorders>
              <w:top w:val="nil"/>
              <w:left w:val="nil"/>
              <w:bottom w:val="nil"/>
              <w:right w:val="nil"/>
            </w:tcBorders>
          </w:tcPr>
          <w:p w14:paraId="75853613" w14:textId="1E577354" w:rsidR="00703860" w:rsidRDefault="00703860">
            <w:pPr>
              <w:spacing w:after="0" w:line="259" w:lineRule="auto"/>
              <w:ind w:left="209" w:firstLine="0"/>
            </w:pPr>
            <w:r>
              <w:t>No data.</w:t>
            </w:r>
          </w:p>
        </w:tc>
      </w:tr>
      <w:tr w:rsidR="00ED1A5A" w14:paraId="3EDF200E" w14:textId="77777777">
        <w:trPr>
          <w:trHeight w:val="253"/>
        </w:trPr>
        <w:tc>
          <w:tcPr>
            <w:tcW w:w="3224" w:type="dxa"/>
            <w:tcBorders>
              <w:top w:val="nil"/>
              <w:left w:val="nil"/>
              <w:bottom w:val="nil"/>
              <w:right w:val="nil"/>
            </w:tcBorders>
          </w:tcPr>
          <w:p w14:paraId="5F206F6D" w14:textId="77777777" w:rsidR="00ED1A5A" w:rsidRDefault="003D5058">
            <w:pPr>
              <w:spacing w:after="0" w:line="259" w:lineRule="auto"/>
              <w:ind w:left="29" w:firstLine="0"/>
            </w:pPr>
            <w:r>
              <w:rPr>
                <w:b/>
                <w:sz w:val="22"/>
              </w:rPr>
              <w:t xml:space="preserve">Freezing/Melting Point: </w:t>
            </w:r>
            <w:r>
              <w:t xml:space="preserve"> </w:t>
            </w:r>
          </w:p>
        </w:tc>
        <w:tc>
          <w:tcPr>
            <w:tcW w:w="7269" w:type="dxa"/>
            <w:tcBorders>
              <w:top w:val="nil"/>
              <w:left w:val="nil"/>
              <w:bottom w:val="nil"/>
              <w:right w:val="nil"/>
            </w:tcBorders>
          </w:tcPr>
          <w:p w14:paraId="7A5F8E32" w14:textId="77777777" w:rsidR="00ED1A5A" w:rsidRDefault="003D5058">
            <w:pPr>
              <w:spacing w:after="0" w:line="259" w:lineRule="auto"/>
              <w:ind w:left="209" w:firstLine="0"/>
            </w:pPr>
            <w:r>
              <w:t xml:space="preserve">No specific data. Liquid at normal temperatures. </w:t>
            </w:r>
          </w:p>
        </w:tc>
      </w:tr>
      <w:tr w:rsidR="00ED1A5A" w14:paraId="7AB35AF4" w14:textId="77777777">
        <w:trPr>
          <w:trHeight w:val="253"/>
        </w:trPr>
        <w:tc>
          <w:tcPr>
            <w:tcW w:w="3224" w:type="dxa"/>
            <w:tcBorders>
              <w:top w:val="nil"/>
              <w:left w:val="nil"/>
              <w:bottom w:val="nil"/>
              <w:right w:val="nil"/>
            </w:tcBorders>
          </w:tcPr>
          <w:p w14:paraId="10DD97B9" w14:textId="77777777" w:rsidR="00ED1A5A" w:rsidRDefault="003D5058">
            <w:pPr>
              <w:spacing w:after="0" w:line="259" w:lineRule="auto"/>
              <w:ind w:left="29" w:firstLine="0"/>
            </w:pPr>
            <w:r>
              <w:rPr>
                <w:b/>
                <w:sz w:val="22"/>
              </w:rPr>
              <w:t xml:space="preserve">Volatiles: </w:t>
            </w:r>
            <w:r>
              <w:t xml:space="preserve"> </w:t>
            </w:r>
          </w:p>
        </w:tc>
        <w:tc>
          <w:tcPr>
            <w:tcW w:w="7269" w:type="dxa"/>
            <w:tcBorders>
              <w:top w:val="nil"/>
              <w:left w:val="nil"/>
              <w:bottom w:val="nil"/>
              <w:right w:val="nil"/>
            </w:tcBorders>
          </w:tcPr>
          <w:p w14:paraId="2012577F" w14:textId="77777777" w:rsidR="00ED1A5A" w:rsidRDefault="003D5058">
            <w:pPr>
              <w:spacing w:after="0" w:line="259" w:lineRule="auto"/>
              <w:ind w:left="209" w:firstLine="0"/>
            </w:pPr>
            <w:r>
              <w:t xml:space="preserve">No data. </w:t>
            </w:r>
          </w:p>
        </w:tc>
      </w:tr>
      <w:tr w:rsidR="00ED1A5A" w14:paraId="5609C06D" w14:textId="77777777">
        <w:trPr>
          <w:trHeight w:val="253"/>
        </w:trPr>
        <w:tc>
          <w:tcPr>
            <w:tcW w:w="3224" w:type="dxa"/>
            <w:tcBorders>
              <w:top w:val="nil"/>
              <w:left w:val="nil"/>
              <w:bottom w:val="nil"/>
              <w:right w:val="nil"/>
            </w:tcBorders>
          </w:tcPr>
          <w:p w14:paraId="4DB54F35" w14:textId="77777777" w:rsidR="00ED1A5A" w:rsidRDefault="003D5058">
            <w:pPr>
              <w:spacing w:after="0" w:line="259" w:lineRule="auto"/>
              <w:ind w:left="29" w:firstLine="0"/>
            </w:pPr>
            <w:r>
              <w:rPr>
                <w:b/>
                <w:sz w:val="22"/>
              </w:rPr>
              <w:t xml:space="preserve">Vapour Pressure: </w:t>
            </w:r>
            <w:r>
              <w:t xml:space="preserve"> </w:t>
            </w:r>
          </w:p>
        </w:tc>
        <w:tc>
          <w:tcPr>
            <w:tcW w:w="7269" w:type="dxa"/>
            <w:tcBorders>
              <w:top w:val="nil"/>
              <w:left w:val="nil"/>
              <w:bottom w:val="nil"/>
              <w:right w:val="nil"/>
            </w:tcBorders>
          </w:tcPr>
          <w:p w14:paraId="3FAC74CD" w14:textId="77777777" w:rsidR="00ED1A5A" w:rsidRDefault="003D5058">
            <w:pPr>
              <w:spacing w:after="0" w:line="259" w:lineRule="auto"/>
              <w:ind w:left="209" w:firstLine="0"/>
            </w:pPr>
            <w:r>
              <w:t xml:space="preserve">No data. </w:t>
            </w:r>
          </w:p>
        </w:tc>
      </w:tr>
      <w:tr w:rsidR="00ED1A5A" w14:paraId="5BFA9689" w14:textId="77777777">
        <w:trPr>
          <w:trHeight w:val="253"/>
        </w:trPr>
        <w:tc>
          <w:tcPr>
            <w:tcW w:w="3224" w:type="dxa"/>
            <w:tcBorders>
              <w:top w:val="nil"/>
              <w:left w:val="nil"/>
              <w:bottom w:val="nil"/>
              <w:right w:val="nil"/>
            </w:tcBorders>
          </w:tcPr>
          <w:p w14:paraId="4F27FB46" w14:textId="77777777" w:rsidR="00ED1A5A" w:rsidRDefault="003D5058">
            <w:pPr>
              <w:spacing w:after="0" w:line="259" w:lineRule="auto"/>
              <w:ind w:left="29" w:firstLine="0"/>
            </w:pPr>
            <w:r>
              <w:rPr>
                <w:b/>
                <w:sz w:val="22"/>
              </w:rPr>
              <w:t xml:space="preserve">Vapour Density: </w:t>
            </w:r>
            <w:r>
              <w:t xml:space="preserve"> </w:t>
            </w:r>
          </w:p>
        </w:tc>
        <w:tc>
          <w:tcPr>
            <w:tcW w:w="7269" w:type="dxa"/>
            <w:tcBorders>
              <w:top w:val="nil"/>
              <w:left w:val="nil"/>
              <w:bottom w:val="nil"/>
              <w:right w:val="nil"/>
            </w:tcBorders>
          </w:tcPr>
          <w:p w14:paraId="4BDF98ED" w14:textId="77777777" w:rsidR="00ED1A5A" w:rsidRDefault="003D5058">
            <w:pPr>
              <w:spacing w:after="0" w:line="259" w:lineRule="auto"/>
              <w:ind w:left="209" w:firstLine="0"/>
            </w:pPr>
            <w:r>
              <w:t xml:space="preserve">No data. </w:t>
            </w:r>
          </w:p>
        </w:tc>
      </w:tr>
      <w:tr w:rsidR="00ED1A5A" w14:paraId="56682AE9" w14:textId="77777777">
        <w:trPr>
          <w:trHeight w:val="252"/>
        </w:trPr>
        <w:tc>
          <w:tcPr>
            <w:tcW w:w="3224" w:type="dxa"/>
            <w:tcBorders>
              <w:top w:val="nil"/>
              <w:left w:val="nil"/>
              <w:bottom w:val="nil"/>
              <w:right w:val="nil"/>
            </w:tcBorders>
          </w:tcPr>
          <w:p w14:paraId="376DE8D3" w14:textId="77777777" w:rsidR="00ED1A5A" w:rsidRDefault="003D5058">
            <w:pPr>
              <w:spacing w:after="0" w:line="259" w:lineRule="auto"/>
              <w:ind w:left="29" w:firstLine="0"/>
            </w:pPr>
            <w:r>
              <w:rPr>
                <w:b/>
                <w:sz w:val="22"/>
              </w:rPr>
              <w:t xml:space="preserve">Specific Gravity: </w:t>
            </w:r>
            <w:r>
              <w:t xml:space="preserve"> </w:t>
            </w:r>
          </w:p>
        </w:tc>
        <w:tc>
          <w:tcPr>
            <w:tcW w:w="7269" w:type="dxa"/>
            <w:tcBorders>
              <w:top w:val="nil"/>
              <w:left w:val="nil"/>
              <w:bottom w:val="nil"/>
              <w:right w:val="nil"/>
            </w:tcBorders>
          </w:tcPr>
          <w:p w14:paraId="0E89C571" w14:textId="77777777" w:rsidR="00ED1A5A" w:rsidRDefault="003D5058">
            <w:pPr>
              <w:spacing w:after="0" w:line="259" w:lineRule="auto"/>
              <w:ind w:left="209" w:firstLine="0"/>
            </w:pPr>
            <w:r>
              <w:t xml:space="preserve">No data. </w:t>
            </w:r>
          </w:p>
        </w:tc>
      </w:tr>
      <w:tr w:rsidR="00ED1A5A" w14:paraId="3F74AE12" w14:textId="77777777">
        <w:trPr>
          <w:trHeight w:val="253"/>
        </w:trPr>
        <w:tc>
          <w:tcPr>
            <w:tcW w:w="3224" w:type="dxa"/>
            <w:tcBorders>
              <w:top w:val="nil"/>
              <w:left w:val="nil"/>
              <w:bottom w:val="nil"/>
              <w:right w:val="nil"/>
            </w:tcBorders>
          </w:tcPr>
          <w:p w14:paraId="75430296" w14:textId="77777777" w:rsidR="00ED1A5A" w:rsidRDefault="003D5058">
            <w:pPr>
              <w:spacing w:after="0" w:line="259" w:lineRule="auto"/>
              <w:ind w:left="29" w:firstLine="0"/>
            </w:pPr>
            <w:r>
              <w:rPr>
                <w:b/>
                <w:sz w:val="22"/>
              </w:rPr>
              <w:t xml:space="preserve">Water Solubility: </w:t>
            </w:r>
            <w:r>
              <w:t xml:space="preserve"> </w:t>
            </w:r>
          </w:p>
        </w:tc>
        <w:tc>
          <w:tcPr>
            <w:tcW w:w="7269" w:type="dxa"/>
            <w:tcBorders>
              <w:top w:val="nil"/>
              <w:left w:val="nil"/>
              <w:bottom w:val="nil"/>
              <w:right w:val="nil"/>
            </w:tcBorders>
          </w:tcPr>
          <w:p w14:paraId="26C71B72" w14:textId="77777777" w:rsidR="00ED1A5A" w:rsidRDefault="003D5058">
            <w:pPr>
              <w:spacing w:after="0" w:line="259" w:lineRule="auto"/>
              <w:ind w:left="209" w:firstLine="0"/>
            </w:pPr>
            <w:r>
              <w:t xml:space="preserve">Soluble. </w:t>
            </w:r>
          </w:p>
        </w:tc>
      </w:tr>
      <w:tr w:rsidR="00ED1A5A" w14:paraId="5B470F25" w14:textId="77777777">
        <w:trPr>
          <w:trHeight w:val="253"/>
        </w:trPr>
        <w:tc>
          <w:tcPr>
            <w:tcW w:w="3224" w:type="dxa"/>
            <w:tcBorders>
              <w:top w:val="nil"/>
              <w:left w:val="nil"/>
              <w:bottom w:val="nil"/>
              <w:right w:val="nil"/>
            </w:tcBorders>
          </w:tcPr>
          <w:p w14:paraId="7A46B137" w14:textId="77777777" w:rsidR="00ED1A5A" w:rsidRDefault="003D5058">
            <w:pPr>
              <w:spacing w:after="0" w:line="259" w:lineRule="auto"/>
              <w:ind w:left="29" w:firstLine="0"/>
            </w:pPr>
            <w:r>
              <w:rPr>
                <w:b/>
                <w:sz w:val="22"/>
              </w:rPr>
              <w:t xml:space="preserve">pH: </w:t>
            </w:r>
            <w:r>
              <w:t xml:space="preserve"> </w:t>
            </w:r>
          </w:p>
        </w:tc>
        <w:tc>
          <w:tcPr>
            <w:tcW w:w="7269" w:type="dxa"/>
            <w:tcBorders>
              <w:top w:val="nil"/>
              <w:left w:val="nil"/>
              <w:bottom w:val="nil"/>
              <w:right w:val="nil"/>
            </w:tcBorders>
          </w:tcPr>
          <w:p w14:paraId="05099288" w14:textId="77777777" w:rsidR="00ED1A5A" w:rsidRDefault="003D5058">
            <w:pPr>
              <w:spacing w:after="0" w:line="259" w:lineRule="auto"/>
              <w:ind w:left="209" w:firstLine="0"/>
            </w:pPr>
            <w:r>
              <w:t xml:space="preserve">No data. </w:t>
            </w:r>
          </w:p>
        </w:tc>
      </w:tr>
      <w:tr w:rsidR="00ED1A5A" w14:paraId="065D9B70" w14:textId="77777777">
        <w:trPr>
          <w:trHeight w:val="253"/>
        </w:trPr>
        <w:tc>
          <w:tcPr>
            <w:tcW w:w="3224" w:type="dxa"/>
            <w:tcBorders>
              <w:top w:val="nil"/>
              <w:left w:val="nil"/>
              <w:bottom w:val="nil"/>
              <w:right w:val="nil"/>
            </w:tcBorders>
          </w:tcPr>
          <w:p w14:paraId="501CF0EE" w14:textId="77777777" w:rsidR="00ED1A5A" w:rsidRDefault="003D5058">
            <w:pPr>
              <w:spacing w:after="0" w:line="259" w:lineRule="auto"/>
              <w:ind w:left="29" w:firstLine="0"/>
            </w:pPr>
            <w:r>
              <w:rPr>
                <w:b/>
                <w:sz w:val="22"/>
              </w:rPr>
              <w:t xml:space="preserve">Volatility: </w:t>
            </w:r>
            <w:r>
              <w:t xml:space="preserve"> </w:t>
            </w:r>
          </w:p>
        </w:tc>
        <w:tc>
          <w:tcPr>
            <w:tcW w:w="7269" w:type="dxa"/>
            <w:tcBorders>
              <w:top w:val="nil"/>
              <w:left w:val="nil"/>
              <w:bottom w:val="nil"/>
              <w:right w:val="nil"/>
            </w:tcBorders>
          </w:tcPr>
          <w:p w14:paraId="0153C949" w14:textId="77777777" w:rsidR="00ED1A5A" w:rsidRDefault="003D5058">
            <w:pPr>
              <w:spacing w:after="0" w:line="259" w:lineRule="auto"/>
              <w:ind w:left="209" w:firstLine="0"/>
            </w:pPr>
            <w:r>
              <w:t xml:space="preserve">No data. </w:t>
            </w:r>
          </w:p>
        </w:tc>
      </w:tr>
      <w:tr w:rsidR="00ED1A5A" w14:paraId="0CFA1A10" w14:textId="77777777">
        <w:trPr>
          <w:trHeight w:val="253"/>
        </w:trPr>
        <w:tc>
          <w:tcPr>
            <w:tcW w:w="3224" w:type="dxa"/>
            <w:tcBorders>
              <w:top w:val="nil"/>
              <w:left w:val="nil"/>
              <w:bottom w:val="nil"/>
              <w:right w:val="nil"/>
            </w:tcBorders>
          </w:tcPr>
          <w:p w14:paraId="5020C7B8" w14:textId="77777777" w:rsidR="00ED1A5A" w:rsidRDefault="003D5058">
            <w:pPr>
              <w:spacing w:after="0" w:line="259" w:lineRule="auto"/>
              <w:ind w:left="29" w:firstLine="0"/>
            </w:pPr>
            <w:r>
              <w:rPr>
                <w:b/>
                <w:sz w:val="22"/>
              </w:rPr>
              <w:t xml:space="preserve">Odour Threshold: </w:t>
            </w:r>
            <w:r>
              <w:t xml:space="preserve"> </w:t>
            </w:r>
          </w:p>
        </w:tc>
        <w:tc>
          <w:tcPr>
            <w:tcW w:w="7269" w:type="dxa"/>
            <w:tcBorders>
              <w:top w:val="nil"/>
              <w:left w:val="nil"/>
              <w:bottom w:val="nil"/>
              <w:right w:val="nil"/>
            </w:tcBorders>
          </w:tcPr>
          <w:p w14:paraId="149AAD61" w14:textId="77777777" w:rsidR="00ED1A5A" w:rsidRDefault="003D5058">
            <w:pPr>
              <w:spacing w:after="0" w:line="259" w:lineRule="auto"/>
              <w:ind w:left="209" w:firstLine="0"/>
            </w:pPr>
            <w:r>
              <w:t xml:space="preserve">No data. </w:t>
            </w:r>
          </w:p>
        </w:tc>
      </w:tr>
      <w:tr w:rsidR="00ED1A5A" w14:paraId="3125CC03" w14:textId="77777777">
        <w:trPr>
          <w:trHeight w:val="252"/>
        </w:trPr>
        <w:tc>
          <w:tcPr>
            <w:tcW w:w="3224" w:type="dxa"/>
            <w:tcBorders>
              <w:top w:val="nil"/>
              <w:left w:val="nil"/>
              <w:bottom w:val="nil"/>
              <w:right w:val="nil"/>
            </w:tcBorders>
          </w:tcPr>
          <w:p w14:paraId="71C697A6" w14:textId="77777777" w:rsidR="00ED1A5A" w:rsidRDefault="003D5058">
            <w:pPr>
              <w:spacing w:after="0" w:line="259" w:lineRule="auto"/>
              <w:ind w:left="29" w:firstLine="0"/>
            </w:pPr>
            <w:r>
              <w:rPr>
                <w:b/>
                <w:sz w:val="22"/>
              </w:rPr>
              <w:t xml:space="preserve">Evaporation Rate: </w:t>
            </w:r>
            <w:r>
              <w:t xml:space="preserve"> </w:t>
            </w:r>
          </w:p>
        </w:tc>
        <w:tc>
          <w:tcPr>
            <w:tcW w:w="7269" w:type="dxa"/>
            <w:tcBorders>
              <w:top w:val="nil"/>
              <w:left w:val="nil"/>
              <w:bottom w:val="nil"/>
              <w:right w:val="nil"/>
            </w:tcBorders>
          </w:tcPr>
          <w:p w14:paraId="6AB4B237" w14:textId="77777777" w:rsidR="00ED1A5A" w:rsidRDefault="003D5058">
            <w:pPr>
              <w:spacing w:after="0" w:line="259" w:lineRule="auto"/>
              <w:ind w:left="209" w:firstLine="0"/>
            </w:pPr>
            <w:r>
              <w:t xml:space="preserve">No data. </w:t>
            </w:r>
          </w:p>
        </w:tc>
      </w:tr>
      <w:tr w:rsidR="00ED1A5A" w14:paraId="23F6B048" w14:textId="77777777">
        <w:trPr>
          <w:trHeight w:val="253"/>
        </w:trPr>
        <w:tc>
          <w:tcPr>
            <w:tcW w:w="3224" w:type="dxa"/>
            <w:tcBorders>
              <w:top w:val="nil"/>
              <w:left w:val="nil"/>
              <w:bottom w:val="nil"/>
              <w:right w:val="nil"/>
            </w:tcBorders>
          </w:tcPr>
          <w:p w14:paraId="12105560" w14:textId="77777777" w:rsidR="00ED1A5A" w:rsidRDefault="003D5058">
            <w:pPr>
              <w:spacing w:after="0" w:line="259" w:lineRule="auto"/>
              <w:ind w:left="29" w:firstLine="0"/>
            </w:pPr>
            <w:r>
              <w:rPr>
                <w:b/>
                <w:sz w:val="22"/>
              </w:rPr>
              <w:t>Coeff Oil/water Distribution</w:t>
            </w:r>
            <w:r>
              <w:t xml:space="preserve">: </w:t>
            </w:r>
          </w:p>
        </w:tc>
        <w:tc>
          <w:tcPr>
            <w:tcW w:w="7269" w:type="dxa"/>
            <w:tcBorders>
              <w:top w:val="nil"/>
              <w:left w:val="nil"/>
              <w:bottom w:val="nil"/>
              <w:right w:val="nil"/>
            </w:tcBorders>
          </w:tcPr>
          <w:p w14:paraId="17A805E4" w14:textId="77777777" w:rsidR="00ED1A5A" w:rsidRDefault="003D5058">
            <w:pPr>
              <w:spacing w:after="0" w:line="259" w:lineRule="auto"/>
              <w:ind w:left="209" w:firstLine="0"/>
            </w:pPr>
            <w:r>
              <w:t xml:space="preserve">No data </w:t>
            </w:r>
          </w:p>
        </w:tc>
      </w:tr>
      <w:tr w:rsidR="00ED1A5A" w14:paraId="131DAAC3" w14:textId="77777777">
        <w:trPr>
          <w:trHeight w:val="330"/>
        </w:trPr>
        <w:tc>
          <w:tcPr>
            <w:tcW w:w="3224" w:type="dxa"/>
            <w:tcBorders>
              <w:top w:val="nil"/>
              <w:left w:val="nil"/>
              <w:bottom w:val="single" w:sz="12" w:space="0" w:color="000000"/>
              <w:right w:val="nil"/>
            </w:tcBorders>
          </w:tcPr>
          <w:p w14:paraId="49D57354" w14:textId="77777777" w:rsidR="00ED1A5A" w:rsidRDefault="003D5058">
            <w:pPr>
              <w:spacing w:after="0" w:line="259" w:lineRule="auto"/>
              <w:ind w:left="29" w:firstLine="0"/>
            </w:pPr>
            <w:r>
              <w:rPr>
                <w:b/>
                <w:sz w:val="22"/>
              </w:rPr>
              <w:t>Autoignition temp:</w:t>
            </w:r>
            <w:r>
              <w:t xml:space="preserve"> </w:t>
            </w:r>
          </w:p>
        </w:tc>
        <w:tc>
          <w:tcPr>
            <w:tcW w:w="7269" w:type="dxa"/>
            <w:tcBorders>
              <w:top w:val="nil"/>
              <w:left w:val="nil"/>
              <w:bottom w:val="single" w:sz="12" w:space="0" w:color="000000"/>
              <w:right w:val="nil"/>
            </w:tcBorders>
          </w:tcPr>
          <w:p w14:paraId="1CB627B2" w14:textId="77777777" w:rsidR="00ED1A5A" w:rsidRDefault="003D5058">
            <w:pPr>
              <w:spacing w:after="0" w:line="259" w:lineRule="auto"/>
              <w:ind w:left="209" w:firstLine="0"/>
            </w:pPr>
            <w:r>
              <w:t xml:space="preserve">No data. </w:t>
            </w:r>
          </w:p>
        </w:tc>
      </w:tr>
    </w:tbl>
    <w:p w14:paraId="71ED293D" w14:textId="77777777" w:rsidR="002E1893" w:rsidRDefault="002E1893">
      <w:pPr>
        <w:spacing w:after="29"/>
        <w:ind w:left="-5"/>
        <w:rPr>
          <w:b/>
          <w:sz w:val="22"/>
        </w:rPr>
      </w:pPr>
    </w:p>
    <w:p w14:paraId="7B8D3AB9" w14:textId="5AF82B68" w:rsidR="002E1893" w:rsidRPr="002E1893" w:rsidRDefault="002E1893"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10 - Stability and Reactivity </w:t>
      </w:r>
    </w:p>
    <w:p w14:paraId="621448C0" w14:textId="598AE68B" w:rsidR="00ED1A5A" w:rsidRDefault="00C81761" w:rsidP="00C81761">
      <w:pPr>
        <w:spacing w:after="139"/>
        <w:ind w:left="-5"/>
      </w:pPr>
      <w:r w:rsidRPr="004C1346">
        <w:rPr>
          <w:b/>
          <w:sz w:val="22"/>
        </w:rPr>
        <w:t>Possibility of Hazardous Reactions</w:t>
      </w:r>
      <w:r>
        <w:rPr>
          <w:b/>
          <w:sz w:val="22"/>
        </w:rPr>
        <w:t>:</w:t>
      </w:r>
      <w:r>
        <w:rPr>
          <w:b/>
        </w:rPr>
        <w:t xml:space="preserve"> </w:t>
      </w:r>
      <w:r>
        <w:t xml:space="preserve">This product is unlikely to react or decompose under normal storage conditions. However, if you have any doubts, contact the supplier for advice on </w:t>
      </w:r>
      <w:r w:rsidR="00574E2F">
        <w:t>shelf-life</w:t>
      </w:r>
      <w:r>
        <w:t xml:space="preserve"> properties. </w:t>
      </w:r>
      <w:r w:rsidRPr="00C81761">
        <w:t xml:space="preserve">This product will not undergo polymerisation reactions. </w:t>
      </w:r>
      <w:r w:rsidRPr="00C81761">
        <w:rPr>
          <w:b/>
        </w:rPr>
        <w:t xml:space="preserve"> </w:t>
      </w:r>
    </w:p>
    <w:p w14:paraId="3F37C99D" w14:textId="47E03868" w:rsidR="00ED1A5A" w:rsidRDefault="003D5058" w:rsidP="00C81761">
      <w:pPr>
        <w:spacing w:after="139"/>
        <w:ind w:left="-5"/>
      </w:pPr>
      <w:r>
        <w:rPr>
          <w:b/>
          <w:sz w:val="22"/>
        </w:rPr>
        <w:t>Conditions to Avoid:</w:t>
      </w:r>
      <w:r>
        <w:rPr>
          <w:b/>
        </w:rPr>
        <w:t xml:space="preserve"> </w:t>
      </w:r>
      <w:r>
        <w:t xml:space="preserve">Protect this product from light. Store in the closed original container in a dry, cool, </w:t>
      </w:r>
      <w:r w:rsidR="00574E2F">
        <w:t>well-ventilated</w:t>
      </w:r>
      <w:r>
        <w:t xml:space="preserve"> area out of direct sunlight. </w:t>
      </w:r>
      <w:r>
        <w:rPr>
          <w:b/>
        </w:rPr>
        <w:t xml:space="preserve"> </w:t>
      </w:r>
    </w:p>
    <w:p w14:paraId="5A3E5A09" w14:textId="5F8ADBBC" w:rsidR="00ED1A5A" w:rsidRDefault="003D5058" w:rsidP="00C81761">
      <w:pPr>
        <w:spacing w:after="139"/>
        <w:ind w:left="-5"/>
      </w:pPr>
      <w:r>
        <w:rPr>
          <w:b/>
          <w:sz w:val="22"/>
        </w:rPr>
        <w:t>Incompatibilities:</w:t>
      </w:r>
      <w:r>
        <w:rPr>
          <w:b/>
        </w:rPr>
        <w:t xml:space="preserve"> </w:t>
      </w:r>
      <w:r w:rsidR="00574E2F">
        <w:t xml:space="preserve">Strong </w:t>
      </w:r>
      <w:r>
        <w:t xml:space="preserve">acids, strong bases, strong oxidising agents. </w:t>
      </w:r>
      <w:r>
        <w:rPr>
          <w:b/>
        </w:rPr>
        <w:t xml:space="preserve"> </w:t>
      </w:r>
    </w:p>
    <w:p w14:paraId="2510E87B" w14:textId="77777777" w:rsidR="00ED1A5A" w:rsidRDefault="003D5058" w:rsidP="00C81761">
      <w:pPr>
        <w:spacing w:after="139"/>
        <w:ind w:left="-5"/>
      </w:pPr>
      <w:r>
        <w:rPr>
          <w:b/>
          <w:sz w:val="22"/>
        </w:rPr>
        <w:t>Fire Decomposition:</w:t>
      </w:r>
      <w:r>
        <w:rPr>
          <w:b/>
        </w:rPr>
        <w:t xml:space="preserve"> </w:t>
      </w:r>
      <w:r>
        <w:t xml:space="preserve">Combustion forms carbon dioxide, and if incomplete, carbon monoxide and possibly smoke. Water is also formed. May form nitrogen and its compounds, and under some circumstances, oxides of nitrogen. Occasionally hydrogen cyanide gas in reducing atmospheres. Carbon monoxide poisoning produces headache, weakness, nausea, dizziness, confusion, dimness of vision, disturbance of judgment, and unconsciousness followed by coma and death. </w:t>
      </w:r>
      <w:r>
        <w:rPr>
          <w:b/>
        </w:rPr>
        <w:t xml:space="preserve"> </w:t>
      </w:r>
    </w:p>
    <w:p w14:paraId="4782B8F0"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11 - Toxicological Information </w:t>
      </w:r>
    </w:p>
    <w:p w14:paraId="03A9BA24" w14:textId="2A90F0BC" w:rsidR="00D535AB" w:rsidRDefault="00D535AB" w:rsidP="00D535AB">
      <w:pPr>
        <w:ind w:left="-5"/>
        <w:rPr>
          <w:szCs w:val="20"/>
        </w:rPr>
      </w:pPr>
      <w:r>
        <w:rPr>
          <w:b/>
          <w:sz w:val="22"/>
        </w:rPr>
        <w:t xml:space="preserve">Acute Toxicity:  </w:t>
      </w:r>
      <w:r w:rsidRPr="003A6667">
        <w:rPr>
          <w:szCs w:val="20"/>
        </w:rPr>
        <w:t xml:space="preserve">Product causes acute toxicity via </w:t>
      </w:r>
      <w:r>
        <w:rPr>
          <w:szCs w:val="20"/>
        </w:rPr>
        <w:t>inhalation route. Product is harmful if inhaled</w:t>
      </w:r>
      <w:r w:rsidRPr="003A6667">
        <w:rPr>
          <w:szCs w:val="20"/>
        </w:rPr>
        <w:t>.</w:t>
      </w:r>
    </w:p>
    <w:p w14:paraId="24FADD6F" w14:textId="0A9AF505" w:rsidR="000015D9" w:rsidRDefault="000015D9" w:rsidP="000015D9">
      <w:pPr>
        <w:ind w:left="-5"/>
        <w:rPr>
          <w:szCs w:val="20"/>
        </w:rPr>
      </w:pPr>
      <w:r>
        <w:rPr>
          <w:szCs w:val="20"/>
        </w:rPr>
        <w:t>If inhaled</w:t>
      </w:r>
      <w:r w:rsidRPr="000015D9">
        <w:rPr>
          <w:szCs w:val="20"/>
        </w:rPr>
        <w:t xml:space="preserve"> product may be mildly irritating, although unlikely to cause anything more than mild transient discomfort.</w:t>
      </w:r>
      <w:r w:rsidR="005F03E4">
        <w:rPr>
          <w:szCs w:val="20"/>
        </w:rPr>
        <w:t xml:space="preserve"> </w:t>
      </w:r>
      <w:r w:rsidRPr="000015D9">
        <w:rPr>
          <w:szCs w:val="20"/>
        </w:rPr>
        <w:t xml:space="preserve">Believed to be cumulative by inhalation route.  </w:t>
      </w:r>
    </w:p>
    <w:p w14:paraId="2D26094D" w14:textId="2F7AB845" w:rsidR="005F03E4" w:rsidRDefault="005F03E4" w:rsidP="004A2424">
      <w:pPr>
        <w:spacing w:after="139"/>
        <w:ind w:left="-5"/>
        <w:rPr>
          <w:szCs w:val="20"/>
        </w:rPr>
      </w:pPr>
      <w:r w:rsidRPr="005F03E4">
        <w:rPr>
          <w:szCs w:val="20"/>
        </w:rPr>
        <w:t xml:space="preserve">Significant oral exposure is unlikely. However, </w:t>
      </w:r>
      <w:r>
        <w:rPr>
          <w:szCs w:val="20"/>
        </w:rPr>
        <w:t xml:space="preserve">if ingested </w:t>
      </w:r>
      <w:r w:rsidRPr="005F03E4">
        <w:rPr>
          <w:szCs w:val="20"/>
        </w:rPr>
        <w:t>this product may be irritating to mucous membranes but is unlikely to cause anything more than transient discomfort. Believed to be cumulative by ingestion.</w:t>
      </w:r>
    </w:p>
    <w:p w14:paraId="24AA3B13" w14:textId="7B7B1F74" w:rsidR="007304B6" w:rsidRPr="00BC503B" w:rsidRDefault="007304B6" w:rsidP="007304B6">
      <w:pPr>
        <w:ind w:left="-5" w:right="5"/>
      </w:pPr>
      <w:r w:rsidRPr="00BC503B">
        <w:t xml:space="preserve">Following is the acute toxicity for </w:t>
      </w:r>
      <w:r>
        <w:t>the active ingredient glufosinate ammonium</w:t>
      </w:r>
      <w:r w:rsidRPr="00BC503B">
        <w:t>:</w:t>
      </w:r>
    </w:p>
    <w:p w14:paraId="31A91754" w14:textId="0290BF65" w:rsidR="007304B6" w:rsidRPr="0006083F" w:rsidRDefault="007304B6" w:rsidP="007304B6">
      <w:pPr>
        <w:ind w:left="-5" w:right="5"/>
      </w:pPr>
      <w:r w:rsidRPr="0006083F">
        <w:t xml:space="preserve">Acute oral toxicity - LD50 (Rat) </w:t>
      </w:r>
      <w:r w:rsidR="008A23D0">
        <w:t>1,500 – 2,</w:t>
      </w:r>
      <w:r>
        <w:t>000 mg/kg</w:t>
      </w:r>
    </w:p>
    <w:p w14:paraId="3EF0B9AC" w14:textId="59307888" w:rsidR="007304B6" w:rsidRPr="0006083F" w:rsidRDefault="007304B6" w:rsidP="007304B6">
      <w:pPr>
        <w:ind w:left="-5" w:right="5"/>
      </w:pPr>
      <w:r w:rsidRPr="0006083F">
        <w:t xml:space="preserve">Acute dermal toxicity - LD50 (Rabbit) &gt; </w:t>
      </w:r>
      <w:r w:rsidR="00035DBF">
        <w:t>4</w:t>
      </w:r>
      <w:r w:rsidRPr="0006083F">
        <w:t xml:space="preserve">,000 mg/kg </w:t>
      </w:r>
    </w:p>
    <w:p w14:paraId="340FD241" w14:textId="6AB41C63" w:rsidR="007304B6" w:rsidRDefault="007304B6" w:rsidP="007304B6">
      <w:pPr>
        <w:ind w:left="-5" w:right="5"/>
      </w:pPr>
      <w:r w:rsidRPr="0006083F">
        <w:t>Acute inhalation toxicity - LC50 (Rat</w:t>
      </w:r>
      <w:r w:rsidR="008A23D0">
        <w:t>, male</w:t>
      </w:r>
      <w:r w:rsidRPr="0006083F">
        <w:t xml:space="preserve">) </w:t>
      </w:r>
      <w:r>
        <w:t>1.</w:t>
      </w:r>
      <w:r w:rsidR="008A23D0">
        <w:t>26</w:t>
      </w:r>
      <w:r>
        <w:t xml:space="preserve"> </w:t>
      </w:r>
      <w:r w:rsidRPr="0006083F">
        <w:t xml:space="preserve">mg/L </w:t>
      </w:r>
    </w:p>
    <w:p w14:paraId="416946CF" w14:textId="77777777" w:rsidR="007304B6" w:rsidRPr="0006083F" w:rsidRDefault="007304B6" w:rsidP="007304B6">
      <w:pPr>
        <w:ind w:left="-5" w:right="5"/>
      </w:pPr>
    </w:p>
    <w:p w14:paraId="32256168" w14:textId="1EC132DC" w:rsidR="00D535AB" w:rsidRDefault="00E13ACC" w:rsidP="000015D9">
      <w:pPr>
        <w:ind w:left="-5"/>
      </w:pPr>
      <w:r w:rsidRPr="009B378E">
        <w:rPr>
          <w:b/>
          <w:sz w:val="22"/>
        </w:rPr>
        <w:t>Skin Corrosion/Irritation</w:t>
      </w:r>
      <w:r w:rsidRPr="009B378E">
        <w:rPr>
          <w:b/>
        </w:rPr>
        <w:t>:</w:t>
      </w:r>
      <w:r>
        <w:rPr>
          <w:b/>
        </w:rPr>
        <w:t xml:space="preserve"> </w:t>
      </w:r>
      <w:r w:rsidRPr="00A837BF">
        <w:t xml:space="preserve">Based on classification principles, the </w:t>
      </w:r>
      <w:r w:rsidRPr="000015D9">
        <w:rPr>
          <w:szCs w:val="20"/>
        </w:rPr>
        <w:t>classification</w:t>
      </w:r>
      <w:r w:rsidRPr="00A837BF">
        <w:t xml:space="preserve"> criteria are not met.</w:t>
      </w:r>
    </w:p>
    <w:p w14:paraId="7A27BCBF" w14:textId="46377C47" w:rsidR="000015D9" w:rsidRPr="000015D9" w:rsidRDefault="000015D9" w:rsidP="004A2424">
      <w:pPr>
        <w:spacing w:after="139"/>
        <w:ind w:left="-5"/>
      </w:pPr>
      <w:r>
        <w:t>May cause skin irritation. S</w:t>
      </w:r>
      <w:r w:rsidRPr="000015D9">
        <w:t xml:space="preserve">ymptoms may include itchiness and reddening of contacted skin. Other symptoms may also become evident, but all should disappear once exposure has ceased.  </w:t>
      </w:r>
    </w:p>
    <w:p w14:paraId="57856937" w14:textId="23FF2DDF" w:rsidR="00E13ACC" w:rsidRDefault="00E13ACC" w:rsidP="000015D9">
      <w:pPr>
        <w:ind w:left="-5"/>
      </w:pPr>
      <w:r w:rsidRPr="009B378E">
        <w:rPr>
          <w:b/>
          <w:sz w:val="22"/>
        </w:rPr>
        <w:t>Serious Eye Damage/Irritation</w:t>
      </w:r>
      <w:r w:rsidRPr="009B378E">
        <w:rPr>
          <w:b/>
        </w:rPr>
        <w:t>:</w:t>
      </w:r>
      <w:r w:rsidRPr="00E13ACC">
        <w:t xml:space="preserve"> </w:t>
      </w:r>
      <w:r w:rsidRPr="00A837BF">
        <w:t>Based on classification principles, the classification criteria are not met.</w:t>
      </w:r>
    </w:p>
    <w:p w14:paraId="46019B93" w14:textId="5F2BFD73" w:rsidR="00E13ACC" w:rsidRDefault="000015D9" w:rsidP="004A2424">
      <w:pPr>
        <w:ind w:left="-5"/>
      </w:pPr>
      <w:r>
        <w:t xml:space="preserve">May cause eye irritation. </w:t>
      </w:r>
      <w:r w:rsidRPr="000015D9">
        <w:t xml:space="preserve">Symptoms may include stinging and reddening of eyes and watering which may become copious. Other symptoms may also become evident. If exposure is brief, symptoms should disappear once exposure has ceased. However, lengthy exposure or delayed treatment may cause permanent damage.  </w:t>
      </w:r>
    </w:p>
    <w:p w14:paraId="2D15A3FB" w14:textId="77777777" w:rsidR="00E467EB" w:rsidRDefault="00E467EB" w:rsidP="004A2424">
      <w:pPr>
        <w:ind w:left="-5"/>
        <w:rPr>
          <w:b/>
        </w:rPr>
      </w:pPr>
    </w:p>
    <w:p w14:paraId="329B4282" w14:textId="5AA2E124" w:rsidR="00E13ACC" w:rsidRDefault="00E13ACC" w:rsidP="004A2424">
      <w:pPr>
        <w:spacing w:after="139"/>
        <w:ind w:left="-5"/>
      </w:pPr>
      <w:r w:rsidRPr="00A837BF">
        <w:rPr>
          <w:b/>
          <w:sz w:val="22"/>
        </w:rPr>
        <w:t>Respiratory or Skin Sensitisation</w:t>
      </w:r>
      <w:r w:rsidRPr="00A837BF">
        <w:rPr>
          <w:b/>
        </w:rPr>
        <w:t>:</w:t>
      </w:r>
      <w:r w:rsidRPr="00E13ACC">
        <w:t xml:space="preserve"> </w:t>
      </w:r>
      <w:r w:rsidRPr="00A837BF">
        <w:t>Based on classification principles, the classification criteria are not met.</w:t>
      </w:r>
    </w:p>
    <w:p w14:paraId="458CA87A" w14:textId="62BA97F9" w:rsidR="00E13ACC" w:rsidRDefault="00E13ACC" w:rsidP="004A2424">
      <w:pPr>
        <w:spacing w:after="139"/>
        <w:ind w:left="-5"/>
      </w:pPr>
      <w:r w:rsidRPr="00A837BF">
        <w:rPr>
          <w:b/>
          <w:sz w:val="22"/>
        </w:rPr>
        <w:t>Germ Cell Mutagenicity</w:t>
      </w:r>
      <w:r w:rsidRPr="00A837BF">
        <w:rPr>
          <w:b/>
        </w:rPr>
        <w:t>:</w:t>
      </w:r>
      <w:r w:rsidRPr="00E13ACC">
        <w:t xml:space="preserve"> </w:t>
      </w:r>
      <w:r w:rsidRPr="00A837BF">
        <w:t>Based on classification principles, the classification criteria are not met.</w:t>
      </w:r>
    </w:p>
    <w:p w14:paraId="59AD7472" w14:textId="6A9AB267" w:rsidR="00E13ACC" w:rsidRDefault="00E13ACC" w:rsidP="000015D9">
      <w:pPr>
        <w:ind w:left="-5"/>
      </w:pPr>
      <w:r w:rsidRPr="00A837BF">
        <w:rPr>
          <w:b/>
          <w:sz w:val="22"/>
        </w:rPr>
        <w:lastRenderedPageBreak/>
        <w:t>Carcinogenicity</w:t>
      </w:r>
      <w:r w:rsidRPr="00A837BF">
        <w:rPr>
          <w:b/>
        </w:rPr>
        <w:t>:</w:t>
      </w:r>
      <w:r w:rsidRPr="00E13ACC">
        <w:t xml:space="preserve"> </w:t>
      </w:r>
      <w:r w:rsidRPr="00A837BF">
        <w:t>Based on classification principles, the classification criteria are not met.</w:t>
      </w:r>
    </w:p>
    <w:p w14:paraId="5AF0F733" w14:textId="45309039" w:rsidR="005F03E4" w:rsidRPr="005F03E4" w:rsidRDefault="005F03E4" w:rsidP="004A2424">
      <w:pPr>
        <w:spacing w:after="139"/>
        <w:ind w:left="-5"/>
      </w:pPr>
      <w:r w:rsidRPr="005F03E4">
        <w:t xml:space="preserve">No significant ingredient is classified as carcinogenic by IARC.  </w:t>
      </w:r>
    </w:p>
    <w:p w14:paraId="63DF2416" w14:textId="591C8BF4" w:rsidR="00025978" w:rsidRDefault="00E13ACC" w:rsidP="00025978">
      <w:pPr>
        <w:spacing w:after="0" w:line="259" w:lineRule="auto"/>
        <w:ind w:left="-5" w:right="1543"/>
        <w:rPr>
          <w:b/>
        </w:rPr>
      </w:pPr>
      <w:r w:rsidRPr="00A837BF">
        <w:rPr>
          <w:b/>
          <w:sz w:val="22"/>
        </w:rPr>
        <w:t>Reproductive Toxicity</w:t>
      </w:r>
      <w:r w:rsidRPr="00A837BF">
        <w:rPr>
          <w:b/>
        </w:rPr>
        <w:t>:</w:t>
      </w:r>
      <w:r w:rsidR="00025978" w:rsidRPr="00025978">
        <w:t xml:space="preserve"> </w:t>
      </w:r>
      <w:r w:rsidR="00025978" w:rsidRPr="00025978">
        <w:rPr>
          <w:bCs/>
        </w:rPr>
        <w:t>May damage fertility or the unborn child.</w:t>
      </w:r>
      <w:r w:rsidR="00025978" w:rsidRPr="00025978">
        <w:rPr>
          <w:b/>
        </w:rPr>
        <w:t xml:space="preserve"> </w:t>
      </w:r>
    </w:p>
    <w:p w14:paraId="03E44904" w14:textId="40339F74" w:rsidR="005F03E4" w:rsidRPr="00025978" w:rsidRDefault="005F03E4" w:rsidP="004A2424">
      <w:pPr>
        <w:spacing w:after="139"/>
        <w:ind w:left="-5"/>
        <w:rPr>
          <w:b/>
        </w:rPr>
      </w:pPr>
      <w:r>
        <w:t>Glufosinate-ammonium is a SWA Class 2 Reproductive risk, may impair fertility.</w:t>
      </w:r>
    </w:p>
    <w:p w14:paraId="66F1D12D" w14:textId="256AA2E9" w:rsidR="00E13ACC" w:rsidRDefault="00E13ACC" w:rsidP="004A2424">
      <w:pPr>
        <w:spacing w:after="139"/>
        <w:ind w:left="-5"/>
      </w:pPr>
      <w:r w:rsidRPr="00A837BF">
        <w:rPr>
          <w:b/>
          <w:sz w:val="22"/>
        </w:rPr>
        <w:t>Specific Target Organ Toxicity (STOT)—single exposure</w:t>
      </w:r>
      <w:r w:rsidRPr="00A837BF">
        <w:rPr>
          <w:b/>
        </w:rPr>
        <w:t>:</w:t>
      </w:r>
      <w:r w:rsidRPr="00E13ACC">
        <w:t xml:space="preserve"> </w:t>
      </w:r>
      <w:r w:rsidRPr="00A837BF">
        <w:t>Based on classification principles, the classification criteria are not met.</w:t>
      </w:r>
    </w:p>
    <w:p w14:paraId="557EDD75" w14:textId="3731F266" w:rsidR="00E13ACC" w:rsidRPr="00025978" w:rsidRDefault="00E13ACC" w:rsidP="004A2424">
      <w:pPr>
        <w:spacing w:after="139"/>
        <w:ind w:left="-5"/>
      </w:pPr>
      <w:r w:rsidRPr="00A837BF">
        <w:rPr>
          <w:b/>
          <w:color w:val="auto"/>
          <w:sz w:val="22"/>
        </w:rPr>
        <w:t>Specific Target Organ Toxicity (STOT)—repeated exposure:</w:t>
      </w:r>
      <w:r w:rsidR="00025978" w:rsidRPr="00025978">
        <w:rPr>
          <w:b/>
        </w:rPr>
        <w:t xml:space="preserve"> </w:t>
      </w:r>
      <w:r w:rsidR="00025978" w:rsidRPr="00025978">
        <w:rPr>
          <w:color w:val="auto"/>
        </w:rPr>
        <w:t xml:space="preserve">May cause damage to organs through prolonged or repeated </w:t>
      </w:r>
      <w:r w:rsidR="00025978" w:rsidRPr="00025978">
        <w:t>exposure</w:t>
      </w:r>
      <w:r w:rsidR="00025978" w:rsidRPr="00025978">
        <w:rPr>
          <w:color w:val="auto"/>
        </w:rPr>
        <w:t>.</w:t>
      </w:r>
    </w:p>
    <w:p w14:paraId="7F02ABCA" w14:textId="77777777" w:rsidR="00E13ACC" w:rsidRDefault="00E13ACC" w:rsidP="00E13ACC">
      <w:pPr>
        <w:spacing w:after="139"/>
        <w:ind w:left="-5"/>
      </w:pPr>
      <w:r w:rsidRPr="00A837BF">
        <w:rPr>
          <w:b/>
          <w:color w:val="auto"/>
          <w:sz w:val="22"/>
        </w:rPr>
        <w:t>Aspiration Hazard</w:t>
      </w:r>
      <w:r w:rsidRPr="00A837BF">
        <w:rPr>
          <w:color w:val="auto"/>
        </w:rPr>
        <w:t>:</w:t>
      </w:r>
      <w:r w:rsidRPr="003C6C4D">
        <w:t xml:space="preserve"> </w:t>
      </w:r>
      <w:r w:rsidRPr="00A837BF">
        <w:t>Based on classification principles, the classification criteria are not met.</w:t>
      </w:r>
    </w:p>
    <w:p w14:paraId="6CC826A1" w14:textId="1B31414F" w:rsidR="00E13ACC" w:rsidRDefault="00E13ACC" w:rsidP="004A2424">
      <w:pPr>
        <w:spacing w:after="139"/>
        <w:ind w:left="-5"/>
        <w:rPr>
          <w:b/>
          <w:color w:val="auto"/>
          <w:sz w:val="22"/>
        </w:rPr>
      </w:pPr>
      <w:r w:rsidRPr="00CE7C91">
        <w:rPr>
          <w:b/>
          <w:color w:val="auto"/>
          <w:sz w:val="22"/>
        </w:rPr>
        <w:t>Chronic Health Effects:</w:t>
      </w:r>
      <w:r w:rsidR="00A821CE">
        <w:rPr>
          <w:b/>
          <w:color w:val="auto"/>
          <w:sz w:val="22"/>
        </w:rPr>
        <w:t xml:space="preserve"> </w:t>
      </w:r>
      <w:r w:rsidR="00A821CE" w:rsidRPr="00A821CE">
        <w:t>No data available.</w:t>
      </w:r>
    </w:p>
    <w:p w14:paraId="2CBB0835" w14:textId="77777777" w:rsidR="00E13ACC" w:rsidRDefault="00E13ACC" w:rsidP="00E13ACC">
      <w:pPr>
        <w:ind w:left="-5"/>
        <w:rPr>
          <w:b/>
          <w:color w:val="auto"/>
          <w:sz w:val="22"/>
        </w:rPr>
      </w:pPr>
      <w:r w:rsidRPr="00E8448D">
        <w:rPr>
          <w:b/>
          <w:color w:val="auto"/>
          <w:sz w:val="22"/>
        </w:rPr>
        <w:t>Additional toxicological information:</w:t>
      </w:r>
    </w:p>
    <w:p w14:paraId="0546699C" w14:textId="282098AB" w:rsidR="00EB3715" w:rsidRPr="00D55247" w:rsidRDefault="00EB3715" w:rsidP="00EB3715">
      <w:pPr>
        <w:tabs>
          <w:tab w:val="center" w:pos="5186"/>
        </w:tabs>
        <w:spacing w:after="26" w:line="259" w:lineRule="auto"/>
        <w:ind w:left="0" w:firstLine="0"/>
        <w:rPr>
          <w:szCs w:val="20"/>
        </w:rPr>
      </w:pPr>
      <w:r w:rsidRPr="00D55247">
        <w:rPr>
          <w:szCs w:val="20"/>
        </w:rPr>
        <w:t>The ADI for Glufosinate-ammonium is set at 0.02mg/kg/day</w:t>
      </w:r>
      <w:r>
        <w:rPr>
          <w:szCs w:val="20"/>
        </w:rPr>
        <w:t xml:space="preserve"> &amp; t</w:t>
      </w:r>
      <w:r w:rsidRPr="00D55247">
        <w:rPr>
          <w:szCs w:val="20"/>
        </w:rPr>
        <w:t>he corresponding NOEL is set at 2.1mg/kg/day</w:t>
      </w:r>
      <w:r>
        <w:rPr>
          <w:szCs w:val="20"/>
        </w:rPr>
        <w:t xml:space="preserve"> (</w:t>
      </w:r>
      <w:r w:rsidRPr="00D55247">
        <w:rPr>
          <w:szCs w:val="20"/>
        </w:rPr>
        <w:t>Data from Australian ADI List, March 2017</w:t>
      </w:r>
      <w:r>
        <w:rPr>
          <w:szCs w:val="20"/>
        </w:rPr>
        <w:t>)</w:t>
      </w:r>
      <w:r w:rsidRPr="00D55247">
        <w:rPr>
          <w:szCs w:val="20"/>
        </w:rPr>
        <w:t xml:space="preserve">. ADI means Acceptable Daily Intake; NOEL means No-observable-effect-level. </w:t>
      </w:r>
    </w:p>
    <w:p w14:paraId="4A41611C"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12 - Ecological Information </w:t>
      </w:r>
    </w:p>
    <w:p w14:paraId="58961498" w14:textId="1570334B" w:rsidR="00BB4959" w:rsidRPr="00BB4959" w:rsidRDefault="00FC297C" w:rsidP="00BB4959">
      <w:pPr>
        <w:ind w:left="-5"/>
      </w:pPr>
      <w:r w:rsidRPr="006C4E52">
        <w:rPr>
          <w:b/>
          <w:sz w:val="22"/>
        </w:rPr>
        <w:t>Ecotoxicity</w:t>
      </w:r>
      <w:r w:rsidRPr="00E34BD4">
        <w:rPr>
          <w:b/>
          <w:color w:val="000000" w:themeColor="text1"/>
          <w:szCs w:val="20"/>
        </w:rPr>
        <w:t>:</w:t>
      </w:r>
      <w:r w:rsidR="00BB4959" w:rsidRPr="00BB4959">
        <w:t xml:space="preserve"> </w:t>
      </w:r>
      <w:r w:rsidR="0021414D">
        <w:t>Avoid contaminating waterways.</w:t>
      </w:r>
    </w:p>
    <w:p w14:paraId="615BDE16" w14:textId="10A0F639" w:rsidR="00FC297C" w:rsidRDefault="00BB4959">
      <w:pPr>
        <w:spacing w:after="201"/>
        <w:ind w:left="-5"/>
        <w:rPr>
          <w:b/>
          <w:color w:val="000000" w:themeColor="text1"/>
          <w:szCs w:val="20"/>
        </w:rPr>
      </w:pPr>
      <w:r>
        <w:t>Glufosinate-ammonium is practically non-toxic to birds, earthworms, honeybees and other beneficial insects. Glufosinate-ammonium is expected to be moderately toxic to wild animals.</w:t>
      </w:r>
    </w:p>
    <w:p w14:paraId="4EFE8A30" w14:textId="77777777" w:rsidR="00BB4959" w:rsidRDefault="00FC297C" w:rsidP="00FC297C">
      <w:pPr>
        <w:spacing w:after="0"/>
        <w:ind w:left="-6" w:right="159" w:hanging="11"/>
        <w:rPr>
          <w:b/>
          <w:bCs/>
        </w:rPr>
      </w:pPr>
      <w:r w:rsidRPr="006C4E52">
        <w:rPr>
          <w:b/>
          <w:sz w:val="22"/>
        </w:rPr>
        <w:t>Persistence and Degradability</w:t>
      </w:r>
      <w:r w:rsidRPr="002B7ADF">
        <w:rPr>
          <w:b/>
          <w:bCs/>
        </w:rPr>
        <w:t>:</w:t>
      </w:r>
      <w:r>
        <w:rPr>
          <w:b/>
          <w:bCs/>
        </w:rPr>
        <w:t xml:space="preserve"> </w:t>
      </w:r>
    </w:p>
    <w:p w14:paraId="32DC39BD" w14:textId="15C2031F" w:rsidR="00FC297C" w:rsidRDefault="00BB4959" w:rsidP="00BB4959">
      <w:pPr>
        <w:spacing w:after="201"/>
        <w:ind w:left="-5"/>
        <w:rPr>
          <w:b/>
          <w:bCs/>
        </w:rPr>
      </w:pPr>
      <w:r>
        <w:t>Glufosinate-ammonium is very soluble in water and is hydrolytically and photolytically stable. It is rapidly degraded in surface levels of soils and in water.</w:t>
      </w:r>
    </w:p>
    <w:p w14:paraId="630738A5" w14:textId="0BA45327" w:rsidR="00BB4959" w:rsidRDefault="00FC297C" w:rsidP="00BB4959">
      <w:pPr>
        <w:spacing w:after="142"/>
        <w:ind w:left="-5" w:right="157"/>
      </w:pPr>
      <w:r w:rsidRPr="006C4E52">
        <w:rPr>
          <w:b/>
          <w:sz w:val="22"/>
        </w:rPr>
        <w:t>Bioaccumulative Potential</w:t>
      </w:r>
      <w:r w:rsidRPr="002B7ADF">
        <w:rPr>
          <w:b/>
          <w:bCs/>
        </w:rPr>
        <w:t>:</w:t>
      </w:r>
      <w:r w:rsidRPr="00444C95">
        <w:t xml:space="preserve"> </w:t>
      </w:r>
      <w:r w:rsidR="00BB4959" w:rsidRPr="00BB4959">
        <w:t>No data available.</w:t>
      </w:r>
    </w:p>
    <w:p w14:paraId="3B4A7F28" w14:textId="034D2A90" w:rsidR="00FC297C" w:rsidRDefault="00FC297C" w:rsidP="00BB4959">
      <w:pPr>
        <w:spacing w:after="142"/>
        <w:ind w:left="-5" w:right="157"/>
      </w:pPr>
      <w:r w:rsidRPr="00BC503B">
        <w:rPr>
          <w:b/>
          <w:sz w:val="22"/>
        </w:rPr>
        <w:t>Mobility in Soil:</w:t>
      </w:r>
      <w:r w:rsidR="00BB4959">
        <w:rPr>
          <w:b/>
          <w:sz w:val="22"/>
        </w:rPr>
        <w:t xml:space="preserve"> </w:t>
      </w:r>
      <w:r w:rsidR="00BB4959" w:rsidRPr="00BB4959">
        <w:t>No data available.</w:t>
      </w:r>
    </w:p>
    <w:p w14:paraId="66AB8445"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13 - Disposal Considerations </w:t>
      </w:r>
    </w:p>
    <w:p w14:paraId="29D54481" w14:textId="77777777" w:rsidR="009A287A" w:rsidRDefault="009A287A" w:rsidP="009A287A">
      <w:pPr>
        <w:spacing w:after="185"/>
        <w:ind w:left="-5" w:right="1"/>
      </w:pPr>
      <w:r>
        <w:rPr>
          <w:b/>
          <w:sz w:val="22"/>
        </w:rPr>
        <w:t xml:space="preserve">Disposal: </w:t>
      </w:r>
      <w:r>
        <w:t xml:space="preserve">Special help is available for the disposal of Agricultural Chemicals. The product label will give general advice regarding disposal of small quantities, and how to cleanse containers. However, for help with the collection of unwanted rural chemicals, contact ChemClear 1800 008 182 http://www.chemclear.com.au/ and for help with the disposal of empty drums, contact DrumMuster http://www.drummuster.com.au/ where you will find contact details for your area. </w:t>
      </w:r>
      <w:r>
        <w:rPr>
          <w:b/>
          <w:sz w:val="22"/>
        </w:rPr>
        <w:t xml:space="preserve"> </w:t>
      </w:r>
    </w:p>
    <w:p w14:paraId="22A8C718"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14 - Transport Information </w:t>
      </w:r>
    </w:p>
    <w:p w14:paraId="5BADB1A5" w14:textId="2728AF98" w:rsidR="00B2673D" w:rsidRDefault="00B2673D" w:rsidP="00B2673D">
      <w:pPr>
        <w:spacing w:after="0"/>
        <w:ind w:left="-5" w:right="5"/>
        <w:rPr>
          <w:b/>
          <w:sz w:val="22"/>
        </w:rPr>
      </w:pPr>
      <w:r>
        <w:rPr>
          <w:b/>
          <w:sz w:val="22"/>
        </w:rPr>
        <w:t>R</w:t>
      </w:r>
      <w:r w:rsidRPr="00A11DA7">
        <w:rPr>
          <w:b/>
          <w:sz w:val="22"/>
        </w:rPr>
        <w:t xml:space="preserve">oad and Rail Transport </w:t>
      </w:r>
    </w:p>
    <w:p w14:paraId="0D9CBEAE" w14:textId="1A23ADB7" w:rsidR="00B2673D" w:rsidRDefault="00B2673D" w:rsidP="00B2673D">
      <w:pPr>
        <w:spacing w:after="201"/>
        <w:ind w:left="-5"/>
      </w:pPr>
      <w:r w:rsidRPr="00B2673D">
        <w:t xml:space="preserve">Not classified as Dangerous Goods by the criteria of the Australian Dangerous Goods Code (ADG Code) for transport by Road and Rail; NON-DANGEROUS GOODS.  </w:t>
      </w:r>
    </w:p>
    <w:p w14:paraId="634615A0" w14:textId="5371AAB5" w:rsidR="00B2673D" w:rsidRDefault="00B2673D" w:rsidP="00B2673D">
      <w:pPr>
        <w:spacing w:after="201"/>
        <w:ind w:left="-5"/>
        <w:rPr>
          <w:b/>
          <w:sz w:val="22"/>
        </w:rPr>
      </w:pPr>
      <w:r w:rsidRPr="00A11DA7">
        <w:rPr>
          <w:b/>
          <w:sz w:val="22"/>
        </w:rPr>
        <w:t>Marine Transport:</w:t>
      </w:r>
      <w:r>
        <w:rPr>
          <w:b/>
          <w:sz w:val="22"/>
        </w:rPr>
        <w:t xml:space="preserve"> </w:t>
      </w:r>
      <w:r w:rsidRPr="00B2673D">
        <w:t>Not classified as Dangerous Goods by the criteria of the International Maritime Dangerous Goods Code (IMDG Code) for transport by sea; NON- DANGEROUS GOODS. </w:t>
      </w:r>
      <w:r w:rsidRPr="00A11DA7">
        <w:rPr>
          <w:b/>
          <w:sz w:val="22"/>
        </w:rPr>
        <w:t xml:space="preserve"> </w:t>
      </w:r>
    </w:p>
    <w:p w14:paraId="20EBA402" w14:textId="4FFB144B" w:rsidR="00B2673D" w:rsidRPr="00A11DA7" w:rsidRDefault="00B2673D" w:rsidP="00B2673D">
      <w:pPr>
        <w:pStyle w:val="MSDStext"/>
        <w:jc w:val="left"/>
        <w:rPr>
          <w:rFonts w:ascii="Calibri" w:hAnsi="Calibri" w:cs="Calibri"/>
          <w:b/>
          <w:sz w:val="22"/>
          <w:lang w:eastAsia="ja-JP"/>
        </w:rPr>
      </w:pPr>
      <w:r w:rsidRPr="00A11DA7">
        <w:rPr>
          <w:rFonts w:ascii="Arial" w:eastAsia="Arial" w:hAnsi="Arial" w:cs="Arial"/>
          <w:b/>
          <w:kern w:val="2"/>
          <w:sz w:val="22"/>
          <w:szCs w:val="24"/>
          <w:lang w:val="en-AU" w:eastAsia="en-AU"/>
          <w14:ligatures w14:val="standardContextual"/>
        </w:rPr>
        <w:t>Air Transport</w:t>
      </w:r>
      <w:r w:rsidRPr="00A11DA7">
        <w:rPr>
          <w:rFonts w:ascii="Calibri" w:hAnsi="Calibri" w:cs="Calibri"/>
          <w:b/>
          <w:sz w:val="22"/>
          <w:lang w:eastAsia="ja-JP"/>
        </w:rPr>
        <w:t xml:space="preserve">: </w:t>
      </w:r>
      <w:r w:rsidRPr="00B2673D">
        <w:rPr>
          <w:rFonts w:ascii="Arial" w:eastAsia="Arial" w:hAnsi="Arial" w:cs="Arial"/>
          <w:kern w:val="2"/>
          <w:sz w:val="20"/>
          <w:lang w:val="en-AU" w:eastAsia="en-AU"/>
          <w14:ligatures w14:val="standardContextual"/>
        </w:rPr>
        <w:t>Not classified as Dangerous Goods by the criteria of the International Air Transport Association (IATA) Dangerous Goods Regulations for transport by air; NON- DANGEROUS GOODS.</w:t>
      </w:r>
      <w:r w:rsidRPr="00B2673D">
        <w:t> </w:t>
      </w:r>
    </w:p>
    <w:p w14:paraId="435B4ED2" w14:textId="77777777" w:rsidR="00B2673D" w:rsidRPr="00A11DA7" w:rsidRDefault="00B2673D" w:rsidP="00B2673D">
      <w:pPr>
        <w:spacing w:after="0"/>
        <w:ind w:left="-5" w:right="5"/>
        <w:rPr>
          <w:b/>
          <w:sz w:val="22"/>
        </w:rPr>
      </w:pPr>
    </w:p>
    <w:p w14:paraId="284F2CF7"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15 - Regulatory Information </w:t>
      </w:r>
    </w:p>
    <w:p w14:paraId="34388959" w14:textId="77777777" w:rsidR="009151BB" w:rsidRDefault="009151BB" w:rsidP="009151BB">
      <w:pPr>
        <w:spacing w:after="121"/>
        <w:ind w:left="-5" w:right="5"/>
        <w:rPr>
          <w:b/>
          <w:sz w:val="22"/>
        </w:rPr>
      </w:pPr>
      <w:r w:rsidRPr="008864F1">
        <w:rPr>
          <w:b/>
          <w:sz w:val="22"/>
        </w:rPr>
        <w:t>APVMA Approval no.:</w:t>
      </w:r>
      <w:r>
        <w:rPr>
          <w:b/>
          <w:sz w:val="22"/>
        </w:rPr>
        <w:t xml:space="preserve"> </w:t>
      </w:r>
      <w:r w:rsidRPr="009151BB">
        <w:rPr>
          <w:b/>
          <w:sz w:val="22"/>
        </w:rPr>
        <w:t>88062</w:t>
      </w:r>
    </w:p>
    <w:p w14:paraId="6E4B75D7" w14:textId="3A464101" w:rsidR="009151BB" w:rsidRDefault="009151BB" w:rsidP="009151BB">
      <w:pPr>
        <w:spacing w:after="121"/>
        <w:ind w:left="-5" w:right="5"/>
      </w:pPr>
      <w:r w:rsidRPr="00E50B99">
        <w:rPr>
          <w:b/>
          <w:sz w:val="22"/>
        </w:rPr>
        <w:t>Poison schedule</w:t>
      </w:r>
      <w:r w:rsidRPr="009B03F6">
        <w:rPr>
          <w:b/>
          <w:szCs w:val="20"/>
        </w:rPr>
        <w:t xml:space="preserve"> (</w:t>
      </w:r>
      <w:r w:rsidRPr="00E50B99">
        <w:rPr>
          <w:b/>
          <w:sz w:val="22"/>
        </w:rPr>
        <w:t>SUSMP</w:t>
      </w:r>
      <w:r w:rsidRPr="009B03F6">
        <w:rPr>
          <w:b/>
          <w:szCs w:val="20"/>
        </w:rPr>
        <w:t>):</w:t>
      </w:r>
      <w:r>
        <w:rPr>
          <w:b/>
          <w:sz w:val="22"/>
        </w:rPr>
        <w:t xml:space="preserve"> </w:t>
      </w:r>
      <w:r>
        <w:t>Schedule 5</w:t>
      </w:r>
    </w:p>
    <w:p w14:paraId="5FF4A048" w14:textId="77777777" w:rsidR="009151BB" w:rsidRDefault="009151BB" w:rsidP="009151BB">
      <w:pPr>
        <w:spacing w:after="137"/>
        <w:ind w:left="-5" w:right="5"/>
      </w:pPr>
      <w:r w:rsidRPr="00E50B99">
        <w:rPr>
          <w:b/>
          <w:sz w:val="22"/>
        </w:rPr>
        <w:lastRenderedPageBreak/>
        <w:t>AICIS</w:t>
      </w:r>
      <w:r w:rsidRPr="00A37C5B">
        <w:rPr>
          <w:b/>
          <w:szCs w:val="20"/>
        </w:rPr>
        <w:t>:</w:t>
      </w:r>
      <w:r>
        <w:rPr>
          <w:b/>
          <w:sz w:val="22"/>
        </w:rPr>
        <w:t xml:space="preserve"> </w:t>
      </w:r>
      <w:r w:rsidRPr="00BC503B">
        <w:t>All the constituents of this material are either listed on the Australian Inventory of Industrial Chemicals (AIIC), not required due the nature of the chemical as they are excluded as an industrial chemical or have been assessed under the Industrial Chemicals Act 1989 as amended.</w:t>
      </w:r>
    </w:p>
    <w:p w14:paraId="5C1132C2" w14:textId="77777777" w:rsidR="00ED1A5A" w:rsidRPr="002E1893" w:rsidRDefault="003D5058" w:rsidP="002E1893">
      <w:pPr>
        <w:pStyle w:val="Heading1"/>
        <w:pBdr>
          <w:top w:val="single" w:sz="12" w:space="0" w:color="000000"/>
          <w:bottom w:val="single" w:sz="12" w:space="0" w:color="000000"/>
        </w:pBdr>
        <w:shd w:val="clear" w:color="auto" w:fill="E5E5E5"/>
        <w:spacing w:after="148"/>
        <w:ind w:left="29" w:right="2" w:hanging="10"/>
        <w:jc w:val="center"/>
        <w:rPr>
          <w:sz w:val="24"/>
          <w:szCs w:val="24"/>
        </w:rPr>
      </w:pPr>
      <w:r w:rsidRPr="002E1893">
        <w:rPr>
          <w:sz w:val="24"/>
          <w:szCs w:val="24"/>
        </w:rPr>
        <w:t xml:space="preserve">Section 16 - Other Information </w:t>
      </w:r>
    </w:p>
    <w:p w14:paraId="6BAEED37" w14:textId="77777777" w:rsidR="0084139A" w:rsidRDefault="0084139A" w:rsidP="0084139A">
      <w:pPr>
        <w:spacing w:after="69" w:line="259" w:lineRule="auto"/>
        <w:ind w:left="16" w:firstLine="0"/>
        <w:jc w:val="center"/>
        <w:rPr>
          <w:b/>
        </w:rPr>
      </w:pPr>
      <w:r>
        <w:rPr>
          <w:b/>
        </w:rPr>
        <w:t>This SDS contains only safety-related information. For other data see product literature.</w:t>
      </w:r>
    </w:p>
    <w:p w14:paraId="30CF4354" w14:textId="72A65525" w:rsidR="0084139A" w:rsidRDefault="0084139A" w:rsidP="0084139A">
      <w:pPr>
        <w:spacing w:after="137"/>
        <w:ind w:left="-5" w:right="5"/>
        <w:rPr>
          <w:b/>
          <w:sz w:val="22"/>
        </w:rPr>
      </w:pPr>
      <w:r>
        <w:rPr>
          <w:b/>
          <w:sz w:val="22"/>
        </w:rPr>
        <w:t xml:space="preserve">Issue Date: </w:t>
      </w:r>
      <w:r w:rsidR="008A4CD6">
        <w:rPr>
          <w:b/>
          <w:sz w:val="22"/>
        </w:rPr>
        <w:t>June</w:t>
      </w:r>
      <w:r>
        <w:rPr>
          <w:b/>
          <w:sz w:val="22"/>
        </w:rPr>
        <w:t xml:space="preserve"> 2024</w:t>
      </w:r>
    </w:p>
    <w:p w14:paraId="1A56BA2B" w14:textId="77777777" w:rsidR="0084139A" w:rsidRPr="00BC503B" w:rsidRDefault="0084139A" w:rsidP="0084139A">
      <w:pPr>
        <w:spacing w:after="137"/>
        <w:ind w:left="-5" w:right="5"/>
      </w:pPr>
      <w:r w:rsidRPr="00BC503B">
        <w:rPr>
          <w:b/>
          <w:sz w:val="22"/>
        </w:rPr>
        <w:t>Reason(s) for issue:</w:t>
      </w:r>
      <w:r>
        <w:rPr>
          <w:b/>
          <w:sz w:val="22"/>
        </w:rPr>
        <w:t xml:space="preserve"> </w:t>
      </w:r>
      <w:r w:rsidRPr="00BC503B">
        <w:t>Five-year update and updated to latest GHS requirements</w:t>
      </w:r>
      <w:r>
        <w:t>.</w:t>
      </w:r>
    </w:p>
    <w:p w14:paraId="0C30D67F" w14:textId="77777777" w:rsidR="0084139A" w:rsidRDefault="0084139A" w:rsidP="0084139A">
      <w:pPr>
        <w:spacing w:after="0" w:line="259" w:lineRule="auto"/>
        <w:ind w:left="-5"/>
        <w:rPr>
          <w:b/>
          <w:sz w:val="22"/>
        </w:rPr>
      </w:pPr>
      <w:r>
        <w:rPr>
          <w:b/>
          <w:sz w:val="22"/>
        </w:rPr>
        <w:t>Key a</w:t>
      </w:r>
      <w:r w:rsidRPr="00832C8B">
        <w:rPr>
          <w:b/>
          <w:sz w:val="22"/>
        </w:rPr>
        <w:t>bbreviations or</w:t>
      </w:r>
      <w:r>
        <w:rPr>
          <w:b/>
          <w:sz w:val="22"/>
        </w:rPr>
        <w:t xml:space="preserve"> acronyms:</w:t>
      </w:r>
    </w:p>
    <w:p w14:paraId="48A17591" w14:textId="77777777" w:rsidR="0084139A" w:rsidRPr="00C54980" w:rsidRDefault="0084139A" w:rsidP="0084139A">
      <w:pPr>
        <w:jc w:val="both"/>
        <w:rPr>
          <w:szCs w:val="20"/>
        </w:rPr>
      </w:pPr>
      <w:r w:rsidRPr="00C54980">
        <w:rPr>
          <w:szCs w:val="20"/>
        </w:rPr>
        <w:t>ADG Code - Australian Code for the Transport of Dangerous Goods by Road and Rail (</w:t>
      </w:r>
      <w:r>
        <w:rPr>
          <w:szCs w:val="20"/>
        </w:rPr>
        <w:t>7</w:t>
      </w:r>
      <w:r w:rsidRPr="00C54980">
        <w:rPr>
          <w:szCs w:val="20"/>
        </w:rPr>
        <w:t>th edition)</w:t>
      </w:r>
    </w:p>
    <w:p w14:paraId="752814B0" w14:textId="77777777" w:rsidR="0084139A" w:rsidRPr="00A37C5B" w:rsidRDefault="0084139A" w:rsidP="0084139A">
      <w:pPr>
        <w:rPr>
          <w:rFonts w:cstheme="minorHAnsi"/>
          <w:szCs w:val="20"/>
        </w:rPr>
      </w:pPr>
      <w:r w:rsidRPr="00A37C5B">
        <w:rPr>
          <w:rFonts w:cstheme="minorHAnsi"/>
          <w:szCs w:val="20"/>
        </w:rPr>
        <w:t>AICIS – Australian Industrial Chemicals Introduction Scheme (formerly NICNAS)</w:t>
      </w:r>
    </w:p>
    <w:p w14:paraId="1DAE9C0D" w14:textId="77777777" w:rsidR="0084139A" w:rsidRPr="00A37C5B" w:rsidRDefault="0084139A" w:rsidP="0084139A">
      <w:pPr>
        <w:rPr>
          <w:rFonts w:cstheme="minorHAnsi"/>
          <w:szCs w:val="20"/>
        </w:rPr>
      </w:pPr>
      <w:r w:rsidRPr="00A37C5B">
        <w:rPr>
          <w:rFonts w:cstheme="minorHAnsi"/>
          <w:szCs w:val="20"/>
        </w:rPr>
        <w:t xml:space="preserve">AIIC - </w:t>
      </w:r>
      <w:r w:rsidRPr="00A37C5B">
        <w:rPr>
          <w:rFonts w:cstheme="minorHAnsi"/>
          <w:szCs w:val="20"/>
          <w:lang w:val="en-US"/>
        </w:rPr>
        <w:t>Australian Inventory of Industrial Chemicals</w:t>
      </w:r>
    </w:p>
    <w:p w14:paraId="4EA558CB" w14:textId="77777777" w:rsidR="0084139A" w:rsidRDefault="0084139A" w:rsidP="0084139A">
      <w:pPr>
        <w:jc w:val="both"/>
        <w:rPr>
          <w:szCs w:val="20"/>
        </w:rPr>
      </w:pPr>
      <w:r w:rsidRPr="00C54980">
        <w:rPr>
          <w:szCs w:val="20"/>
        </w:rPr>
        <w:t>APVMA – Agricultural Pesticides and Veterinary Medicines Australia</w:t>
      </w:r>
    </w:p>
    <w:p w14:paraId="384C34D2" w14:textId="77777777" w:rsidR="0084139A" w:rsidRPr="00C54980" w:rsidRDefault="0084139A" w:rsidP="0084139A">
      <w:pPr>
        <w:spacing w:after="0" w:line="240" w:lineRule="auto"/>
        <w:jc w:val="both"/>
        <w:rPr>
          <w:szCs w:val="20"/>
        </w:rPr>
      </w:pPr>
      <w:r w:rsidRPr="0091077D">
        <w:rPr>
          <w:szCs w:val="20"/>
        </w:rPr>
        <w:t>CAS number</w:t>
      </w:r>
      <w:r>
        <w:rPr>
          <w:szCs w:val="20"/>
        </w:rPr>
        <w:t xml:space="preserve"> - </w:t>
      </w:r>
      <w:r>
        <w:t>Chemical Abstracts Service Registry Number</w:t>
      </w:r>
    </w:p>
    <w:p w14:paraId="5E93244B" w14:textId="77777777" w:rsidR="0084139A" w:rsidRDefault="0084139A" w:rsidP="0084139A">
      <w:pPr>
        <w:jc w:val="both"/>
        <w:rPr>
          <w:szCs w:val="20"/>
        </w:rPr>
      </w:pPr>
      <w:r w:rsidRPr="00C54980">
        <w:rPr>
          <w:szCs w:val="20"/>
        </w:rPr>
        <w:t>GHS - Globally Harmonised System of Classification and Labelling of Chemicals (</w:t>
      </w:r>
      <w:r>
        <w:rPr>
          <w:szCs w:val="20"/>
        </w:rPr>
        <w:t xml:space="preserve">7th </w:t>
      </w:r>
      <w:r w:rsidRPr="00C54980">
        <w:rPr>
          <w:szCs w:val="20"/>
        </w:rPr>
        <w:t>revised edition) 20</w:t>
      </w:r>
      <w:r>
        <w:rPr>
          <w:szCs w:val="20"/>
        </w:rPr>
        <w:t>17</w:t>
      </w:r>
    </w:p>
    <w:p w14:paraId="4DE44070" w14:textId="77777777" w:rsidR="0084139A" w:rsidRPr="00C54980" w:rsidRDefault="0084139A" w:rsidP="0084139A">
      <w:pPr>
        <w:spacing w:after="0" w:line="240" w:lineRule="auto"/>
        <w:jc w:val="both"/>
        <w:rPr>
          <w:szCs w:val="20"/>
        </w:rPr>
      </w:pPr>
      <w:r w:rsidRPr="003E168B">
        <w:rPr>
          <w:bCs/>
        </w:rPr>
        <w:t>Hazchem Code -</w:t>
      </w:r>
      <w:r>
        <w:rPr>
          <w:b/>
        </w:rPr>
        <w:t xml:space="preserve"> </w:t>
      </w:r>
      <w:r>
        <w:t>Emergency action code of numbers and letters that provide information to emergency services especially firefighters.</w:t>
      </w:r>
    </w:p>
    <w:p w14:paraId="4888F7CE" w14:textId="77777777" w:rsidR="0084139A" w:rsidRPr="00C54980" w:rsidRDefault="0084139A" w:rsidP="0084139A">
      <w:pPr>
        <w:jc w:val="both"/>
        <w:rPr>
          <w:szCs w:val="20"/>
        </w:rPr>
      </w:pPr>
      <w:r w:rsidRPr="00C54980">
        <w:rPr>
          <w:szCs w:val="20"/>
        </w:rPr>
        <w:t xml:space="preserve">IARC - International Agency for Research on Cancer </w:t>
      </w:r>
    </w:p>
    <w:p w14:paraId="499781FC" w14:textId="77777777" w:rsidR="0084139A" w:rsidRPr="00C54980" w:rsidRDefault="0084139A" w:rsidP="0084139A">
      <w:pPr>
        <w:jc w:val="both"/>
        <w:rPr>
          <w:szCs w:val="20"/>
        </w:rPr>
      </w:pPr>
      <w:r w:rsidRPr="00C54980">
        <w:rPr>
          <w:szCs w:val="20"/>
        </w:rPr>
        <w:t>Preparation of Safety Data Sheets for Hazardous Chemicals Code of Practice (</w:t>
      </w:r>
      <w:r>
        <w:rPr>
          <w:szCs w:val="20"/>
        </w:rPr>
        <w:t>June 2023</w:t>
      </w:r>
      <w:r w:rsidRPr="00C54980">
        <w:rPr>
          <w:szCs w:val="20"/>
        </w:rPr>
        <w:t>)</w:t>
      </w:r>
    </w:p>
    <w:p w14:paraId="54628CD1" w14:textId="77777777" w:rsidR="0084139A" w:rsidRPr="00C54980" w:rsidRDefault="0084139A" w:rsidP="0084139A">
      <w:pPr>
        <w:jc w:val="both"/>
        <w:rPr>
          <w:szCs w:val="20"/>
        </w:rPr>
      </w:pPr>
      <w:r w:rsidRPr="00C54980">
        <w:rPr>
          <w:szCs w:val="20"/>
        </w:rPr>
        <w:t>STEL - Short term exposure limit means the average airborne concentration of a substance calculated over a 15-minute period. The STEL should not be exceeded at any time during a normal eight hour working day.</w:t>
      </w:r>
    </w:p>
    <w:p w14:paraId="63C119D2" w14:textId="77777777" w:rsidR="0084139A" w:rsidRPr="00C54980" w:rsidRDefault="0084139A" w:rsidP="0084139A">
      <w:pPr>
        <w:jc w:val="both"/>
        <w:rPr>
          <w:szCs w:val="20"/>
        </w:rPr>
      </w:pPr>
      <w:r w:rsidRPr="00C54980">
        <w:rPr>
          <w:szCs w:val="20"/>
        </w:rPr>
        <w:t>SUSMP - Standard for the Uniform Scheduling of Medicines &amp; Poisons</w:t>
      </w:r>
    </w:p>
    <w:p w14:paraId="02087CB6" w14:textId="77777777" w:rsidR="0084139A" w:rsidRPr="00C54980" w:rsidRDefault="0084139A" w:rsidP="0084139A">
      <w:pPr>
        <w:jc w:val="both"/>
        <w:rPr>
          <w:szCs w:val="20"/>
        </w:rPr>
      </w:pPr>
      <w:r w:rsidRPr="00C54980">
        <w:rPr>
          <w:szCs w:val="20"/>
        </w:rPr>
        <w:t>SWA - Safe Work Australia, formerly ASCC and NOHSC</w:t>
      </w:r>
    </w:p>
    <w:p w14:paraId="1AA5096B" w14:textId="77777777" w:rsidR="0084139A" w:rsidRPr="00C54980" w:rsidRDefault="0084139A" w:rsidP="0084139A">
      <w:pPr>
        <w:jc w:val="both"/>
        <w:rPr>
          <w:szCs w:val="20"/>
        </w:rPr>
      </w:pPr>
      <w:r w:rsidRPr="00C54980">
        <w:rPr>
          <w:szCs w:val="20"/>
        </w:rPr>
        <w:t>TGA – Therapeutic Goods Australia</w:t>
      </w:r>
    </w:p>
    <w:p w14:paraId="4867034C" w14:textId="77777777" w:rsidR="0084139A" w:rsidRDefault="0084139A" w:rsidP="0084139A">
      <w:pPr>
        <w:jc w:val="both"/>
        <w:rPr>
          <w:szCs w:val="20"/>
        </w:rPr>
      </w:pPr>
      <w:r w:rsidRPr="00C54980">
        <w:rPr>
          <w:szCs w:val="20"/>
        </w:rPr>
        <w:t>TWA - Time-weighted average means the average airborne concentration of a particular substance when calculated over an eight-hour working day, for a five-day working week.</w:t>
      </w:r>
    </w:p>
    <w:p w14:paraId="32F658A5" w14:textId="77777777" w:rsidR="0084139A" w:rsidRPr="00C54980" w:rsidRDefault="0084139A" w:rsidP="0084139A">
      <w:pPr>
        <w:spacing w:after="0" w:line="240" w:lineRule="auto"/>
        <w:ind w:left="0" w:firstLine="0"/>
        <w:rPr>
          <w:szCs w:val="20"/>
        </w:rPr>
      </w:pPr>
      <w:r w:rsidRPr="000C09F7">
        <w:rPr>
          <w:szCs w:val="20"/>
        </w:rPr>
        <w:t>UN Number</w:t>
      </w:r>
      <w:r>
        <w:rPr>
          <w:szCs w:val="20"/>
        </w:rPr>
        <w:t xml:space="preserve"> - </w:t>
      </w:r>
      <w:r>
        <w:t>United Nations Number</w:t>
      </w:r>
    </w:p>
    <w:p w14:paraId="2FB38A35" w14:textId="77777777" w:rsidR="0084139A" w:rsidRDefault="0084139A" w:rsidP="0084139A">
      <w:pPr>
        <w:spacing w:after="0" w:line="259" w:lineRule="auto"/>
        <w:ind w:left="-5"/>
        <w:rPr>
          <w:szCs w:val="20"/>
        </w:rPr>
      </w:pPr>
      <w:r w:rsidRPr="00C54980">
        <w:rPr>
          <w:szCs w:val="20"/>
        </w:rPr>
        <w:t>WHS – Workplace Health and Safety</w:t>
      </w:r>
    </w:p>
    <w:p w14:paraId="15C9EC0C" w14:textId="77777777" w:rsidR="0084139A" w:rsidRDefault="0084139A" w:rsidP="0084139A">
      <w:pPr>
        <w:spacing w:after="69" w:line="259" w:lineRule="auto"/>
        <w:ind w:left="16" w:firstLine="0"/>
      </w:pPr>
    </w:p>
    <w:p w14:paraId="7E714533" w14:textId="77777777" w:rsidR="0084139A" w:rsidRDefault="0084139A" w:rsidP="0084139A">
      <w:pPr>
        <w:pBdr>
          <w:top w:val="single" w:sz="18" w:space="0" w:color="000000"/>
          <w:left w:val="single" w:sz="18" w:space="0" w:color="000000"/>
          <w:bottom w:val="single" w:sz="18" w:space="0" w:color="000000"/>
          <w:right w:val="single" w:sz="18" w:space="0" w:color="000000"/>
        </w:pBdr>
        <w:spacing w:after="54"/>
        <w:ind w:left="-5"/>
      </w:pPr>
      <w:r>
        <w:rPr>
          <w:sz w:val="16"/>
        </w:rPr>
        <w:t>THIS SDS SUMMARISES OUR BEST KNOWLEDGE OF THE HEALTH AND SAFETY HAZARD STATEMENT: INFORMATION OF THE PRODUCT AND HOW TO SAFELY HANDLE AND USE THE PRODUCT IN THE WORKPLACE. EACH USER MUST REVIEW THIS SDS IN THE CONTEXT OF HOW THE PRODUCT WILL BE HANDLED AND USED IN THE WORKPLACE.</w:t>
      </w:r>
    </w:p>
    <w:p w14:paraId="5A78A23F" w14:textId="77777777" w:rsidR="0084139A" w:rsidRDefault="0084139A" w:rsidP="0084139A">
      <w:pPr>
        <w:pBdr>
          <w:top w:val="single" w:sz="18" w:space="0" w:color="000000"/>
          <w:left w:val="single" w:sz="18" w:space="0" w:color="000000"/>
          <w:bottom w:val="single" w:sz="18" w:space="0" w:color="000000"/>
          <w:right w:val="single" w:sz="18" w:space="0" w:color="000000"/>
        </w:pBdr>
        <w:spacing w:after="6"/>
        <w:ind w:left="-5"/>
      </w:pPr>
      <w:r>
        <w:rPr>
          <w:sz w:val="16"/>
        </w:rPr>
        <w:t xml:space="preserve">IF CLARIFICATION OR FURTHER INFORMATION IS NEEDED TO ENSURE THAT AN APPROPRIATE RISK ASSESSMENT CAN BE MADE, </w:t>
      </w:r>
    </w:p>
    <w:p w14:paraId="60F53A4E" w14:textId="77777777" w:rsidR="0084139A" w:rsidRDefault="0084139A" w:rsidP="0084139A">
      <w:pPr>
        <w:pBdr>
          <w:top w:val="single" w:sz="18" w:space="0" w:color="000000"/>
          <w:left w:val="single" w:sz="18" w:space="0" w:color="000000"/>
          <w:bottom w:val="single" w:sz="18" w:space="0" w:color="000000"/>
          <w:right w:val="single" w:sz="18" w:space="0" w:color="000000"/>
        </w:pBdr>
        <w:spacing w:after="250"/>
        <w:ind w:left="-5"/>
      </w:pPr>
      <w:r>
        <w:rPr>
          <w:sz w:val="16"/>
        </w:rPr>
        <w:t>THE USER SHOULD CONTACT THIS COMPANY SO WE CAN ATTEMPT TO OBTAIN ADDITIONAL INFORMATION FROM OUR SUPPLIERS OUR RESPONSIBILITY FOR PRODUCTS SOLD IS SUBJECT TO OUR STANDARD TERMS AND CONDITIONS, A COPY OF WHICH IS SENT TO OUR CUSTOMERS AND IS ALSO AVAILABLE ON REQUEST.</w:t>
      </w:r>
    </w:p>
    <w:p w14:paraId="3ACA9FFF" w14:textId="77777777" w:rsidR="0084139A" w:rsidRDefault="0084139A" w:rsidP="0084139A">
      <w:pPr>
        <w:spacing w:after="79" w:line="259" w:lineRule="auto"/>
        <w:ind w:left="0" w:firstLine="0"/>
      </w:pPr>
      <w:r>
        <w:rPr>
          <w:sz w:val="24"/>
        </w:rPr>
        <w:t>Please read all labels carefully before using product.</w:t>
      </w:r>
    </w:p>
    <w:p w14:paraId="0A68D56D" w14:textId="77777777" w:rsidR="0084139A" w:rsidRDefault="0084139A" w:rsidP="0084139A">
      <w:pPr>
        <w:spacing w:after="0" w:line="256" w:lineRule="auto"/>
        <w:ind w:left="677" w:right="90" w:hanging="567"/>
        <w:jc w:val="center"/>
        <w:rPr>
          <w:sz w:val="22"/>
        </w:rPr>
      </w:pPr>
      <w:r>
        <w:rPr>
          <w:sz w:val="22"/>
        </w:rPr>
        <w:t xml:space="preserve">This SDS is prepared in accord with the SWA document “Preparation of Safety Data Sheets for Hazardous Chemicals - Code of Practice” ((June 2023) and GHS Revision 7 </w:t>
      </w:r>
    </w:p>
    <w:p w14:paraId="72D07DA0" w14:textId="77777777" w:rsidR="0084139A" w:rsidRDefault="0084139A" w:rsidP="0084139A">
      <w:pPr>
        <w:spacing w:after="0" w:line="256" w:lineRule="auto"/>
        <w:ind w:left="677" w:right="90" w:hanging="567"/>
        <w:jc w:val="center"/>
      </w:pPr>
      <w:r>
        <w:rPr>
          <w:sz w:val="22"/>
        </w:rPr>
        <w:t xml:space="preserve">Copyright © Sabakem Pty Ltd.  </w:t>
      </w:r>
    </w:p>
    <w:p w14:paraId="43706AD2" w14:textId="77777777" w:rsidR="0084139A" w:rsidRDefault="0084139A" w:rsidP="0084139A">
      <w:pPr>
        <w:spacing w:after="120" w:line="259" w:lineRule="auto"/>
        <w:ind w:left="6" w:firstLine="0"/>
        <w:jc w:val="center"/>
      </w:pPr>
    </w:p>
    <w:p w14:paraId="4ABED254" w14:textId="77777777" w:rsidR="0084139A" w:rsidRDefault="0084139A" w:rsidP="0084139A">
      <w:pPr>
        <w:spacing w:after="0" w:line="259" w:lineRule="auto"/>
        <w:ind w:left="-15" w:firstLine="1043"/>
      </w:pPr>
    </w:p>
    <w:p w14:paraId="5C6F7065" w14:textId="23897735" w:rsidR="00ED1A5A" w:rsidRDefault="00ED1A5A" w:rsidP="0084139A">
      <w:pPr>
        <w:spacing w:after="3" w:line="259" w:lineRule="auto"/>
        <w:ind w:left="-15" w:firstLine="1042"/>
      </w:pPr>
    </w:p>
    <w:sectPr w:rsidR="00ED1A5A">
      <w:headerReference w:type="even" r:id="rId13"/>
      <w:headerReference w:type="default" r:id="rId14"/>
      <w:footerReference w:type="even" r:id="rId15"/>
      <w:footerReference w:type="default" r:id="rId16"/>
      <w:headerReference w:type="first" r:id="rId17"/>
      <w:footerReference w:type="first" r:id="rId18"/>
      <w:pgSz w:w="11906" w:h="16841"/>
      <w:pgMar w:top="1642" w:right="752" w:bottom="1144" w:left="737" w:header="425" w:footer="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7BA57" w14:textId="77777777" w:rsidR="00A32EB1" w:rsidRDefault="00A32EB1">
      <w:pPr>
        <w:spacing w:after="0" w:line="240" w:lineRule="auto"/>
      </w:pPr>
      <w:r>
        <w:separator/>
      </w:r>
    </w:p>
  </w:endnote>
  <w:endnote w:type="continuationSeparator" w:id="0">
    <w:p w14:paraId="5D9BE35F" w14:textId="77777777" w:rsidR="00A32EB1" w:rsidRDefault="00A3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LT Std 45 Light">
    <w:altName w:val="Century Gothic"/>
    <w:panose1 w:val="00000000000000000000"/>
    <w:charset w:val="00"/>
    <w:family w:val="swiss"/>
    <w:notTrueType/>
    <w:pitch w:val="variable"/>
    <w:sig w:usb0="00000003"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A6569" w14:textId="77777777" w:rsidR="00ED1A5A" w:rsidRDefault="003D5058">
    <w:pPr>
      <w:spacing w:after="0" w:line="259" w:lineRule="auto"/>
      <w:ind w:left="0" w:right="37" w:firstLine="0"/>
      <w:jc w:val="center"/>
    </w:pPr>
    <w:r>
      <w:rPr>
        <w:b/>
        <w:sz w:val="22"/>
      </w:rPr>
      <w:t xml:space="preserve">SAFETY DATA SHEET </w:t>
    </w:r>
  </w:p>
  <w:p w14:paraId="4691573E" w14:textId="77777777" w:rsidR="00ED1A5A" w:rsidRDefault="003D5058">
    <w:pPr>
      <w:tabs>
        <w:tab w:val="right" w:pos="10418"/>
      </w:tabs>
      <w:spacing w:after="45" w:line="259" w:lineRule="auto"/>
      <w:ind w:left="0" w:firstLine="0"/>
    </w:pPr>
    <w:r>
      <w:rPr>
        <w:sz w:val="22"/>
      </w:rPr>
      <w:t xml:space="preserve">Issued by: Sabakem Pty Ltd </w:t>
    </w:r>
    <w:r>
      <w:rPr>
        <w:sz w:val="22"/>
      </w:rPr>
      <w:tab/>
      <w:t xml:space="preserve">Phone: 1800 033 111 (all hours) </w:t>
    </w:r>
  </w:p>
  <w:p w14:paraId="50CCC728" w14:textId="77777777" w:rsidR="00ED1A5A" w:rsidRDefault="003D5058">
    <w:pPr>
      <w:spacing w:after="0" w:line="259" w:lineRule="auto"/>
      <w:ind w:left="5" w:firstLine="0"/>
      <w:jc w:val="center"/>
    </w:pPr>
    <w:r>
      <w:rPr>
        <w:b/>
      </w:rPr>
      <w:t>Poisons Information Centre: 13 1126 from anywhere in Australia, (0800 764 766 in New Zealand)</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AE795" w14:textId="77777777" w:rsidR="00951219" w:rsidRDefault="00951219" w:rsidP="00951219">
    <w:pPr>
      <w:spacing w:after="0" w:line="259" w:lineRule="auto"/>
      <w:ind w:left="0" w:right="45" w:firstLine="0"/>
      <w:jc w:val="center"/>
    </w:pPr>
    <w:r>
      <w:rPr>
        <w:b/>
        <w:sz w:val="22"/>
      </w:rPr>
      <w:t xml:space="preserve">SAFETY DATA SHEET </w:t>
    </w:r>
  </w:p>
  <w:p w14:paraId="4A733152" w14:textId="77777777" w:rsidR="00951219" w:rsidRDefault="00951219" w:rsidP="00951219">
    <w:pPr>
      <w:tabs>
        <w:tab w:val="right" w:pos="10428"/>
      </w:tabs>
      <w:spacing w:after="47" w:line="259" w:lineRule="auto"/>
      <w:ind w:left="0" w:firstLine="0"/>
    </w:pPr>
    <w:r>
      <w:rPr>
        <w:sz w:val="22"/>
      </w:rPr>
      <w:t xml:space="preserve">Issued by: Sabakem Pty Ltd </w:t>
    </w:r>
    <w:r>
      <w:rPr>
        <w:sz w:val="22"/>
      </w:rPr>
      <w:tab/>
      <w:t>Phone: 03 9629 3979</w:t>
    </w:r>
  </w:p>
  <w:p w14:paraId="7BF272FF" w14:textId="30A8A1FB" w:rsidR="00ED1A5A" w:rsidRPr="00951219" w:rsidRDefault="00ED1A5A" w:rsidP="00951219">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2C203" w14:textId="77777777" w:rsidR="00ED1A5A" w:rsidRDefault="003D5058">
    <w:pPr>
      <w:spacing w:after="0" w:line="259" w:lineRule="auto"/>
      <w:ind w:left="0" w:right="37" w:firstLine="0"/>
      <w:jc w:val="center"/>
    </w:pPr>
    <w:r>
      <w:rPr>
        <w:b/>
        <w:sz w:val="22"/>
      </w:rPr>
      <w:t xml:space="preserve">SAFETY DATA SHEET </w:t>
    </w:r>
  </w:p>
  <w:p w14:paraId="44B992C7" w14:textId="77777777" w:rsidR="00ED1A5A" w:rsidRDefault="003D5058">
    <w:pPr>
      <w:tabs>
        <w:tab w:val="right" w:pos="10418"/>
      </w:tabs>
      <w:spacing w:after="45" w:line="259" w:lineRule="auto"/>
      <w:ind w:left="0" w:firstLine="0"/>
    </w:pPr>
    <w:r>
      <w:rPr>
        <w:sz w:val="22"/>
      </w:rPr>
      <w:t xml:space="preserve">Issued by: Sabakem Pty Ltd </w:t>
    </w:r>
    <w:r>
      <w:rPr>
        <w:sz w:val="22"/>
      </w:rPr>
      <w:tab/>
      <w:t xml:space="preserve">Phone: 1800 033 111 (all hours) </w:t>
    </w:r>
  </w:p>
  <w:p w14:paraId="1E40C426" w14:textId="77777777" w:rsidR="00ED1A5A" w:rsidRDefault="003D5058">
    <w:pPr>
      <w:spacing w:after="0" w:line="259" w:lineRule="auto"/>
      <w:ind w:left="5" w:firstLine="0"/>
      <w:jc w:val="center"/>
    </w:pPr>
    <w:r>
      <w:rPr>
        <w:b/>
      </w:rPr>
      <w:t>Poisons Information Centre: 13 1126 from anywhere in Australia, (0800 764 766 in New Zealand)</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17166" w14:textId="77777777" w:rsidR="00A32EB1" w:rsidRDefault="00A32EB1">
      <w:pPr>
        <w:spacing w:after="0" w:line="240" w:lineRule="auto"/>
      </w:pPr>
      <w:r>
        <w:separator/>
      </w:r>
    </w:p>
  </w:footnote>
  <w:footnote w:type="continuationSeparator" w:id="0">
    <w:p w14:paraId="2FC93F62" w14:textId="77777777" w:rsidR="00A32EB1" w:rsidRDefault="00A32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CE9F" w14:textId="77777777" w:rsidR="00ED1A5A" w:rsidRDefault="003D5058">
    <w:pPr>
      <w:spacing w:after="0" w:line="259" w:lineRule="auto"/>
      <w:ind w:left="0" w:right="-14" w:firstLine="0"/>
      <w:jc w:val="right"/>
    </w:pPr>
    <w:r>
      <w:rPr>
        <w:noProof/>
      </w:rPr>
      <w:drawing>
        <wp:anchor distT="0" distB="0" distL="114300" distR="114300" simplePos="0" relativeHeight="251658240" behindDoc="0" locked="0" layoutInCell="1" allowOverlap="0" wp14:anchorId="02953975" wp14:editId="31C9EF7B">
          <wp:simplePos x="0" y="0"/>
          <wp:positionH relativeFrom="page">
            <wp:posOffset>467995</wp:posOffset>
          </wp:positionH>
          <wp:positionV relativeFrom="page">
            <wp:posOffset>269874</wp:posOffset>
          </wp:positionV>
          <wp:extent cx="2896870" cy="7391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896870" cy="739140"/>
                  </a:xfrm>
                  <a:prstGeom prst="rect">
                    <a:avLst/>
                  </a:prstGeom>
                </pic:spPr>
              </pic:pic>
            </a:graphicData>
          </a:graphic>
        </wp:anchor>
      </w:drawing>
    </w:r>
    <w:r>
      <w:rPr>
        <w:b/>
      </w:rPr>
      <w:t xml:space="preserve">Product Name: Sabakem Glufosinate 400 Herbicide </w:t>
    </w:r>
  </w:p>
  <w:p w14:paraId="3F8C61F5" w14:textId="77777777" w:rsidR="00ED1A5A" w:rsidRDefault="003D5058">
    <w:pPr>
      <w:spacing w:after="0" w:line="259" w:lineRule="auto"/>
      <w:ind w:left="0" w:right="-15" w:firstLine="0"/>
      <w:jc w:val="right"/>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fldSimple w:instr=" NUMPAGES   \* MERGEFORMAT ">
      <w:r>
        <w:rPr>
          <w:b/>
        </w:rPr>
        <w:t>6</w:t>
      </w:r>
    </w:fldSimple>
    <w:r>
      <w:rPr>
        <w:b/>
      </w:rPr>
      <w:t xml:space="preserve"> </w:t>
    </w:r>
  </w:p>
  <w:p w14:paraId="0796D6B0" w14:textId="77777777" w:rsidR="00ED1A5A" w:rsidRDefault="003D5058">
    <w:pPr>
      <w:spacing w:after="72" w:line="259" w:lineRule="auto"/>
      <w:ind w:left="0" w:right="-14" w:firstLine="0"/>
      <w:jc w:val="right"/>
    </w:pPr>
    <w:r>
      <w:rPr>
        <w:b/>
      </w:rPr>
      <w:t xml:space="preserve">This version issued: September, 2019 </w:t>
    </w:r>
  </w:p>
  <w:p w14:paraId="40B6D9E1" w14:textId="77777777" w:rsidR="00ED1A5A" w:rsidRDefault="003D5058">
    <w:pPr>
      <w:spacing w:after="0" w:line="259" w:lineRule="auto"/>
      <w:ind w:left="0" w:right="-28" w:firstLine="0"/>
      <w:jc w:val="right"/>
    </w:pPr>
    <w:r>
      <w:rPr>
        <w:b/>
      </w:rPr>
      <w:t xml:space="preserve"> </w:t>
    </w:r>
    <w:r>
      <w:rPr>
        <w:b/>
      </w:rPr>
      <w:tab/>
    </w:r>
    <w:r>
      <w:rPr>
        <w:b/>
        <w:sz w:val="6"/>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4F8BF" w14:textId="77777777" w:rsidR="00ED1A5A" w:rsidRDefault="003D5058">
    <w:pPr>
      <w:spacing w:after="0" w:line="259" w:lineRule="auto"/>
      <w:ind w:left="0" w:right="-14" w:firstLine="0"/>
      <w:jc w:val="right"/>
    </w:pPr>
    <w:r>
      <w:rPr>
        <w:noProof/>
      </w:rPr>
      <w:drawing>
        <wp:anchor distT="0" distB="0" distL="114300" distR="114300" simplePos="0" relativeHeight="251659264" behindDoc="0" locked="0" layoutInCell="1" allowOverlap="0" wp14:anchorId="2AF52172" wp14:editId="1910E224">
          <wp:simplePos x="0" y="0"/>
          <wp:positionH relativeFrom="page">
            <wp:posOffset>467995</wp:posOffset>
          </wp:positionH>
          <wp:positionV relativeFrom="page">
            <wp:posOffset>269874</wp:posOffset>
          </wp:positionV>
          <wp:extent cx="2896870" cy="739140"/>
          <wp:effectExtent l="0" t="0" r="0" b="0"/>
          <wp:wrapSquare wrapText="bothSides"/>
          <wp:docPr id="1851927519" name="Picture 18519275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896870" cy="739140"/>
                  </a:xfrm>
                  <a:prstGeom prst="rect">
                    <a:avLst/>
                  </a:prstGeom>
                </pic:spPr>
              </pic:pic>
            </a:graphicData>
          </a:graphic>
        </wp:anchor>
      </w:drawing>
    </w:r>
    <w:r>
      <w:rPr>
        <w:b/>
      </w:rPr>
      <w:t xml:space="preserve">Product Name: Sabakem Glufosinate 400 Herbicide </w:t>
    </w:r>
  </w:p>
  <w:p w14:paraId="74678995" w14:textId="77777777" w:rsidR="00ED1A5A" w:rsidRDefault="003D5058">
    <w:pPr>
      <w:spacing w:after="0" w:line="259" w:lineRule="auto"/>
      <w:ind w:left="0" w:right="-15" w:firstLine="0"/>
      <w:jc w:val="right"/>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fldSimple w:instr=" NUMPAGES   \* MERGEFORMAT ">
      <w:r>
        <w:rPr>
          <w:b/>
        </w:rPr>
        <w:t>6</w:t>
      </w:r>
    </w:fldSimple>
    <w:r>
      <w:rPr>
        <w:b/>
      </w:rPr>
      <w:t xml:space="preserve"> </w:t>
    </w:r>
  </w:p>
  <w:p w14:paraId="4315FCEF" w14:textId="14ECFE82" w:rsidR="00ED1A5A" w:rsidRDefault="003D5058">
    <w:pPr>
      <w:spacing w:after="72" w:line="259" w:lineRule="auto"/>
      <w:ind w:left="0" w:right="-14" w:firstLine="0"/>
      <w:jc w:val="right"/>
    </w:pPr>
    <w:r>
      <w:rPr>
        <w:b/>
      </w:rPr>
      <w:t xml:space="preserve">This version issued: </w:t>
    </w:r>
    <w:r w:rsidR="008A4CD6">
      <w:rPr>
        <w:b/>
      </w:rPr>
      <w:t>June</w:t>
    </w:r>
    <w:r w:rsidR="00951219">
      <w:rPr>
        <w:b/>
      </w:rPr>
      <w:t>, 2024</w:t>
    </w:r>
    <w:r>
      <w:rPr>
        <w:b/>
      </w:rPr>
      <w:t xml:space="preserve"> </w:t>
    </w:r>
  </w:p>
  <w:p w14:paraId="3D953491" w14:textId="77777777" w:rsidR="00ED1A5A" w:rsidRDefault="003D5058">
    <w:pPr>
      <w:spacing w:after="0" w:line="259" w:lineRule="auto"/>
      <w:ind w:left="0" w:right="-28" w:firstLine="0"/>
      <w:jc w:val="right"/>
    </w:pPr>
    <w:r>
      <w:rPr>
        <w:b/>
      </w:rPr>
      <w:t xml:space="preserve"> </w:t>
    </w:r>
    <w:r>
      <w:rPr>
        <w:b/>
      </w:rPr>
      <w:tab/>
    </w:r>
    <w:r>
      <w:rPr>
        <w:b/>
        <w:sz w:val="6"/>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C588A" w14:textId="77777777" w:rsidR="00ED1A5A" w:rsidRDefault="003D5058">
    <w:pPr>
      <w:spacing w:after="0" w:line="259" w:lineRule="auto"/>
      <w:ind w:left="0" w:right="-14" w:firstLine="0"/>
      <w:jc w:val="right"/>
    </w:pPr>
    <w:r>
      <w:rPr>
        <w:noProof/>
      </w:rPr>
      <w:drawing>
        <wp:anchor distT="0" distB="0" distL="114300" distR="114300" simplePos="0" relativeHeight="251660288" behindDoc="0" locked="0" layoutInCell="1" allowOverlap="0" wp14:anchorId="37C03CBF" wp14:editId="64E731AB">
          <wp:simplePos x="0" y="0"/>
          <wp:positionH relativeFrom="page">
            <wp:posOffset>467995</wp:posOffset>
          </wp:positionH>
          <wp:positionV relativeFrom="page">
            <wp:posOffset>269874</wp:posOffset>
          </wp:positionV>
          <wp:extent cx="2896870" cy="739140"/>
          <wp:effectExtent l="0" t="0" r="0" b="0"/>
          <wp:wrapSquare wrapText="bothSides"/>
          <wp:docPr id="1339571007" name="Picture 133957100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896870" cy="739140"/>
                  </a:xfrm>
                  <a:prstGeom prst="rect">
                    <a:avLst/>
                  </a:prstGeom>
                </pic:spPr>
              </pic:pic>
            </a:graphicData>
          </a:graphic>
        </wp:anchor>
      </w:drawing>
    </w:r>
    <w:r>
      <w:rPr>
        <w:b/>
      </w:rPr>
      <w:t xml:space="preserve">Product Name: Sabakem Glufosinate 400 Herbicide </w:t>
    </w:r>
  </w:p>
  <w:p w14:paraId="3BAD92C8" w14:textId="77777777" w:rsidR="00ED1A5A" w:rsidRDefault="003D5058">
    <w:pPr>
      <w:spacing w:after="0" w:line="259" w:lineRule="auto"/>
      <w:ind w:left="0" w:right="-15" w:firstLine="0"/>
      <w:jc w:val="right"/>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fldSimple w:instr=" NUMPAGES   \* MERGEFORMAT ">
      <w:r>
        <w:rPr>
          <w:b/>
        </w:rPr>
        <w:t>6</w:t>
      </w:r>
    </w:fldSimple>
    <w:r>
      <w:rPr>
        <w:b/>
      </w:rPr>
      <w:t xml:space="preserve"> </w:t>
    </w:r>
  </w:p>
  <w:p w14:paraId="0CE4C4D2" w14:textId="77777777" w:rsidR="00ED1A5A" w:rsidRDefault="003D5058">
    <w:pPr>
      <w:spacing w:after="72" w:line="259" w:lineRule="auto"/>
      <w:ind w:left="0" w:right="-14" w:firstLine="0"/>
      <w:jc w:val="right"/>
    </w:pPr>
    <w:r>
      <w:rPr>
        <w:b/>
      </w:rPr>
      <w:t xml:space="preserve">This version issued: September, 2019 </w:t>
    </w:r>
  </w:p>
  <w:p w14:paraId="3F5F6EAD" w14:textId="77777777" w:rsidR="00ED1A5A" w:rsidRDefault="003D5058">
    <w:pPr>
      <w:spacing w:after="0" w:line="259" w:lineRule="auto"/>
      <w:ind w:left="0" w:right="-28" w:firstLine="0"/>
      <w:jc w:val="right"/>
    </w:pPr>
    <w:r>
      <w:rPr>
        <w:b/>
      </w:rPr>
      <w:t xml:space="preserve"> </w:t>
    </w:r>
    <w:r>
      <w:rPr>
        <w:b/>
      </w:rPr>
      <w:tab/>
    </w:r>
    <w:r>
      <w:rPr>
        <w:b/>
        <w:sz w:val="6"/>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7005"/>
    <w:multiLevelType w:val="hybridMultilevel"/>
    <w:tmpl w:val="59D83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F5070B"/>
    <w:multiLevelType w:val="hybridMultilevel"/>
    <w:tmpl w:val="B44A2C2E"/>
    <w:lvl w:ilvl="0" w:tplc="3B34B8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841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C431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202B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9E1B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FCBA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90D0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E6E4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C4BE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01784219">
    <w:abstractNumId w:val="1"/>
  </w:num>
  <w:num w:numId="2" w16cid:durableId="39350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5A"/>
    <w:rsid w:val="0000108B"/>
    <w:rsid w:val="000015D9"/>
    <w:rsid w:val="00004CB8"/>
    <w:rsid w:val="00025978"/>
    <w:rsid w:val="00035DBF"/>
    <w:rsid w:val="00036EB6"/>
    <w:rsid w:val="000D2FA7"/>
    <w:rsid w:val="000D5D1B"/>
    <w:rsid w:val="00164716"/>
    <w:rsid w:val="00175A21"/>
    <w:rsid w:val="001D1032"/>
    <w:rsid w:val="0021414D"/>
    <w:rsid w:val="0026010B"/>
    <w:rsid w:val="00287FA1"/>
    <w:rsid w:val="002A7A15"/>
    <w:rsid w:val="002B3110"/>
    <w:rsid w:val="002B3AA7"/>
    <w:rsid w:val="002C2480"/>
    <w:rsid w:val="002D77EE"/>
    <w:rsid w:val="002E1893"/>
    <w:rsid w:val="002E7A45"/>
    <w:rsid w:val="00320325"/>
    <w:rsid w:val="003608A8"/>
    <w:rsid w:val="00372AC0"/>
    <w:rsid w:val="003D5058"/>
    <w:rsid w:val="00422862"/>
    <w:rsid w:val="0045426A"/>
    <w:rsid w:val="00465558"/>
    <w:rsid w:val="004A2424"/>
    <w:rsid w:val="004B0581"/>
    <w:rsid w:val="004F52CC"/>
    <w:rsid w:val="0050774E"/>
    <w:rsid w:val="00574E2F"/>
    <w:rsid w:val="005F03E4"/>
    <w:rsid w:val="005F6BF5"/>
    <w:rsid w:val="006027A7"/>
    <w:rsid w:val="0065100E"/>
    <w:rsid w:val="00703860"/>
    <w:rsid w:val="007304B6"/>
    <w:rsid w:val="008261F7"/>
    <w:rsid w:val="0084139A"/>
    <w:rsid w:val="008645B3"/>
    <w:rsid w:val="00871678"/>
    <w:rsid w:val="008A23D0"/>
    <w:rsid w:val="008A4CD6"/>
    <w:rsid w:val="009151BB"/>
    <w:rsid w:val="00951219"/>
    <w:rsid w:val="00976B29"/>
    <w:rsid w:val="009A287A"/>
    <w:rsid w:val="009D792A"/>
    <w:rsid w:val="00A32EB1"/>
    <w:rsid w:val="00A728F2"/>
    <w:rsid w:val="00A821CE"/>
    <w:rsid w:val="00AA7DE9"/>
    <w:rsid w:val="00AB0D3A"/>
    <w:rsid w:val="00AC5EA0"/>
    <w:rsid w:val="00B2673D"/>
    <w:rsid w:val="00BB4959"/>
    <w:rsid w:val="00BB7DA9"/>
    <w:rsid w:val="00C234A8"/>
    <w:rsid w:val="00C81761"/>
    <w:rsid w:val="00CB0C17"/>
    <w:rsid w:val="00CD19B0"/>
    <w:rsid w:val="00D134C3"/>
    <w:rsid w:val="00D13599"/>
    <w:rsid w:val="00D174A7"/>
    <w:rsid w:val="00D462B9"/>
    <w:rsid w:val="00D535AB"/>
    <w:rsid w:val="00D55247"/>
    <w:rsid w:val="00D61AD0"/>
    <w:rsid w:val="00D7287D"/>
    <w:rsid w:val="00D860BE"/>
    <w:rsid w:val="00DA0FDC"/>
    <w:rsid w:val="00DF1B4D"/>
    <w:rsid w:val="00E13ACC"/>
    <w:rsid w:val="00E467EB"/>
    <w:rsid w:val="00E7538B"/>
    <w:rsid w:val="00EB3715"/>
    <w:rsid w:val="00ED1A5A"/>
    <w:rsid w:val="00F667D8"/>
    <w:rsid w:val="00FA644E"/>
    <w:rsid w:val="00FC297C"/>
    <w:rsid w:val="00FF1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C3F4"/>
  <w15:docId w15:val="{6860B8E2-B204-4672-AA68-3ECADF91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12" w:space="0" w:color="000000"/>
        <w:bottom w:val="single" w:sz="12" w:space="0" w:color="000000"/>
      </w:pBdr>
      <w:shd w:val="clear" w:color="auto" w:fill="E5E5E5"/>
      <w:spacing w:after="86"/>
      <w:ind w:left="2199"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6010B"/>
    <w:rPr>
      <w:color w:val="0563C1" w:themeColor="hyperlink"/>
      <w:u w:val="single"/>
    </w:rPr>
  </w:style>
  <w:style w:type="character" w:styleId="UnresolvedMention">
    <w:name w:val="Unresolved Mention"/>
    <w:basedOn w:val="DefaultParagraphFont"/>
    <w:uiPriority w:val="99"/>
    <w:semiHidden/>
    <w:unhideWhenUsed/>
    <w:rsid w:val="0026010B"/>
    <w:rPr>
      <w:color w:val="605E5C"/>
      <w:shd w:val="clear" w:color="auto" w:fill="E1DFDD"/>
    </w:rPr>
  </w:style>
  <w:style w:type="paragraph" w:styleId="Footer">
    <w:name w:val="footer"/>
    <w:basedOn w:val="Normal"/>
    <w:link w:val="FooterChar"/>
    <w:uiPriority w:val="99"/>
    <w:semiHidden/>
    <w:unhideWhenUsed/>
    <w:rsid w:val="009512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1219"/>
    <w:rPr>
      <w:rFonts w:ascii="Arial" w:eastAsia="Arial" w:hAnsi="Arial" w:cs="Arial"/>
      <w:color w:val="000000"/>
      <w:sz w:val="20"/>
    </w:rPr>
  </w:style>
  <w:style w:type="table" w:customStyle="1" w:styleId="TableGrid1">
    <w:name w:val="TableGrid1"/>
    <w:rsid w:val="00E7538B"/>
    <w:pPr>
      <w:spacing w:after="0" w:line="240" w:lineRule="auto"/>
    </w:pPr>
    <w:rPr>
      <w:sz w:val="24"/>
      <w:szCs w:val="24"/>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D77EE"/>
    <w:rPr>
      <w:sz w:val="16"/>
      <w:szCs w:val="16"/>
    </w:rPr>
  </w:style>
  <w:style w:type="paragraph" w:styleId="CommentText">
    <w:name w:val="annotation text"/>
    <w:basedOn w:val="Normal"/>
    <w:link w:val="CommentTextChar"/>
    <w:uiPriority w:val="99"/>
    <w:unhideWhenUsed/>
    <w:rsid w:val="002D77EE"/>
    <w:pPr>
      <w:spacing w:after="7" w:line="240" w:lineRule="auto"/>
    </w:pPr>
    <w:rPr>
      <w:szCs w:val="20"/>
    </w:rPr>
  </w:style>
  <w:style w:type="character" w:customStyle="1" w:styleId="CommentTextChar">
    <w:name w:val="Comment Text Char"/>
    <w:basedOn w:val="DefaultParagraphFont"/>
    <w:link w:val="CommentText"/>
    <w:uiPriority w:val="99"/>
    <w:rsid w:val="002D77E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667D8"/>
    <w:pPr>
      <w:spacing w:after="5"/>
    </w:pPr>
    <w:rPr>
      <w:b/>
      <w:bCs/>
    </w:rPr>
  </w:style>
  <w:style w:type="character" w:customStyle="1" w:styleId="CommentSubjectChar">
    <w:name w:val="Comment Subject Char"/>
    <w:basedOn w:val="CommentTextChar"/>
    <w:link w:val="CommentSubject"/>
    <w:uiPriority w:val="99"/>
    <w:semiHidden/>
    <w:rsid w:val="00F667D8"/>
    <w:rPr>
      <w:rFonts w:ascii="Arial" w:eastAsia="Arial" w:hAnsi="Arial" w:cs="Arial"/>
      <w:b/>
      <w:bCs/>
      <w:color w:val="000000"/>
      <w:sz w:val="20"/>
      <w:szCs w:val="20"/>
    </w:rPr>
  </w:style>
  <w:style w:type="paragraph" w:styleId="Revision">
    <w:name w:val="Revision"/>
    <w:hidden/>
    <w:uiPriority w:val="99"/>
    <w:semiHidden/>
    <w:rsid w:val="00F667D8"/>
    <w:pPr>
      <w:spacing w:after="0" w:line="240" w:lineRule="auto"/>
    </w:pPr>
    <w:rPr>
      <w:rFonts w:ascii="Arial" w:eastAsia="Arial" w:hAnsi="Arial" w:cs="Arial"/>
      <w:color w:val="000000"/>
      <w:sz w:val="20"/>
    </w:rPr>
  </w:style>
  <w:style w:type="table" w:customStyle="1" w:styleId="TableGrid10">
    <w:name w:val="Table Grid1"/>
    <w:uiPriority w:val="39"/>
    <w:rsid w:val="00D1359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3599"/>
    <w:pPr>
      <w:spacing w:after="4" w:line="249" w:lineRule="auto"/>
      <w:ind w:left="720"/>
      <w:contextualSpacing/>
    </w:pPr>
  </w:style>
  <w:style w:type="paragraph" w:customStyle="1" w:styleId="MSDStext">
    <w:name w:val="MSDS text"/>
    <w:basedOn w:val="Normal"/>
    <w:qFormat/>
    <w:rsid w:val="00B2673D"/>
    <w:pPr>
      <w:autoSpaceDE w:val="0"/>
      <w:autoSpaceDN w:val="0"/>
      <w:adjustRightInd w:val="0"/>
      <w:spacing w:after="0" w:line="240" w:lineRule="auto"/>
      <w:ind w:left="0" w:firstLine="0"/>
      <w:jc w:val="both"/>
    </w:pPr>
    <w:rPr>
      <w:rFonts w:ascii="Frutiger LT Std 45 Light" w:eastAsia="MS Mincho" w:hAnsi="Frutiger LT Std 45 Light" w:cs="Times New Roman"/>
      <w:kern w:val="0"/>
      <w:sz w:val="24"/>
      <w:lang w:val="en-GB"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03795">
      <w:bodyDiv w:val="1"/>
      <w:marLeft w:val="0"/>
      <w:marRight w:val="0"/>
      <w:marTop w:val="0"/>
      <w:marBottom w:val="0"/>
      <w:divBdr>
        <w:top w:val="none" w:sz="0" w:space="0" w:color="auto"/>
        <w:left w:val="none" w:sz="0" w:space="0" w:color="auto"/>
        <w:bottom w:val="none" w:sz="0" w:space="0" w:color="auto"/>
        <w:right w:val="none" w:sz="0" w:space="0" w:color="auto"/>
      </w:divBdr>
      <w:divsChild>
        <w:div w:id="231045405">
          <w:marLeft w:val="0"/>
          <w:marRight w:val="0"/>
          <w:marTop w:val="0"/>
          <w:marBottom w:val="0"/>
          <w:divBdr>
            <w:top w:val="none" w:sz="0" w:space="0" w:color="auto"/>
            <w:left w:val="none" w:sz="0" w:space="0" w:color="auto"/>
            <w:bottom w:val="none" w:sz="0" w:space="0" w:color="auto"/>
            <w:right w:val="none" w:sz="0" w:space="0" w:color="auto"/>
          </w:divBdr>
          <w:divsChild>
            <w:div w:id="2120759650">
              <w:marLeft w:val="0"/>
              <w:marRight w:val="0"/>
              <w:marTop w:val="0"/>
              <w:marBottom w:val="0"/>
              <w:divBdr>
                <w:top w:val="none" w:sz="0" w:space="0" w:color="auto"/>
                <w:left w:val="none" w:sz="0" w:space="0" w:color="auto"/>
                <w:bottom w:val="none" w:sz="0" w:space="0" w:color="auto"/>
                <w:right w:val="none" w:sz="0" w:space="0" w:color="auto"/>
              </w:divBdr>
            </w:div>
          </w:divsChild>
        </w:div>
        <w:div w:id="1367290444">
          <w:marLeft w:val="0"/>
          <w:marRight w:val="0"/>
          <w:marTop w:val="0"/>
          <w:marBottom w:val="0"/>
          <w:divBdr>
            <w:top w:val="none" w:sz="0" w:space="0" w:color="auto"/>
            <w:left w:val="none" w:sz="0" w:space="0" w:color="auto"/>
            <w:bottom w:val="none" w:sz="0" w:space="0" w:color="auto"/>
            <w:right w:val="none" w:sz="0" w:space="0" w:color="auto"/>
          </w:divBdr>
          <w:divsChild>
            <w:div w:id="1721631142">
              <w:marLeft w:val="0"/>
              <w:marRight w:val="0"/>
              <w:marTop w:val="0"/>
              <w:marBottom w:val="0"/>
              <w:divBdr>
                <w:top w:val="none" w:sz="0" w:space="0" w:color="auto"/>
                <w:left w:val="none" w:sz="0" w:space="0" w:color="auto"/>
                <w:bottom w:val="none" w:sz="0" w:space="0" w:color="auto"/>
                <w:right w:val="none" w:sz="0" w:space="0" w:color="auto"/>
              </w:divBdr>
            </w:div>
          </w:divsChild>
        </w:div>
        <w:div w:id="238950235">
          <w:marLeft w:val="0"/>
          <w:marRight w:val="0"/>
          <w:marTop w:val="0"/>
          <w:marBottom w:val="0"/>
          <w:divBdr>
            <w:top w:val="none" w:sz="0" w:space="0" w:color="auto"/>
            <w:left w:val="none" w:sz="0" w:space="0" w:color="auto"/>
            <w:bottom w:val="none" w:sz="0" w:space="0" w:color="auto"/>
            <w:right w:val="none" w:sz="0" w:space="0" w:color="auto"/>
          </w:divBdr>
          <w:divsChild>
            <w:div w:id="875854280">
              <w:marLeft w:val="0"/>
              <w:marRight w:val="0"/>
              <w:marTop w:val="0"/>
              <w:marBottom w:val="0"/>
              <w:divBdr>
                <w:top w:val="none" w:sz="0" w:space="0" w:color="auto"/>
                <w:left w:val="none" w:sz="0" w:space="0" w:color="auto"/>
                <w:bottom w:val="none" w:sz="0" w:space="0" w:color="auto"/>
                <w:right w:val="none" w:sz="0" w:space="0" w:color="auto"/>
              </w:divBdr>
            </w:div>
          </w:divsChild>
        </w:div>
        <w:div w:id="1480422733">
          <w:marLeft w:val="0"/>
          <w:marRight w:val="0"/>
          <w:marTop w:val="0"/>
          <w:marBottom w:val="0"/>
          <w:divBdr>
            <w:top w:val="none" w:sz="0" w:space="0" w:color="auto"/>
            <w:left w:val="none" w:sz="0" w:space="0" w:color="auto"/>
            <w:bottom w:val="none" w:sz="0" w:space="0" w:color="auto"/>
            <w:right w:val="none" w:sz="0" w:space="0" w:color="auto"/>
          </w:divBdr>
          <w:divsChild>
            <w:div w:id="20906540">
              <w:marLeft w:val="0"/>
              <w:marRight w:val="0"/>
              <w:marTop w:val="0"/>
              <w:marBottom w:val="0"/>
              <w:divBdr>
                <w:top w:val="none" w:sz="0" w:space="0" w:color="auto"/>
                <w:left w:val="none" w:sz="0" w:space="0" w:color="auto"/>
                <w:bottom w:val="none" w:sz="0" w:space="0" w:color="auto"/>
                <w:right w:val="none" w:sz="0" w:space="0" w:color="auto"/>
              </w:divBdr>
            </w:div>
          </w:divsChild>
        </w:div>
        <w:div w:id="1192383060">
          <w:marLeft w:val="0"/>
          <w:marRight w:val="0"/>
          <w:marTop w:val="0"/>
          <w:marBottom w:val="0"/>
          <w:divBdr>
            <w:top w:val="none" w:sz="0" w:space="0" w:color="auto"/>
            <w:left w:val="none" w:sz="0" w:space="0" w:color="auto"/>
            <w:bottom w:val="none" w:sz="0" w:space="0" w:color="auto"/>
            <w:right w:val="none" w:sz="0" w:space="0" w:color="auto"/>
          </w:divBdr>
          <w:divsChild>
            <w:div w:id="1080904598">
              <w:marLeft w:val="0"/>
              <w:marRight w:val="0"/>
              <w:marTop w:val="0"/>
              <w:marBottom w:val="0"/>
              <w:divBdr>
                <w:top w:val="none" w:sz="0" w:space="0" w:color="auto"/>
                <w:left w:val="none" w:sz="0" w:space="0" w:color="auto"/>
                <w:bottom w:val="none" w:sz="0" w:space="0" w:color="auto"/>
                <w:right w:val="none" w:sz="0" w:space="0" w:color="auto"/>
              </w:divBdr>
            </w:div>
          </w:divsChild>
        </w:div>
        <w:div w:id="477766338">
          <w:marLeft w:val="0"/>
          <w:marRight w:val="0"/>
          <w:marTop w:val="0"/>
          <w:marBottom w:val="0"/>
          <w:divBdr>
            <w:top w:val="none" w:sz="0" w:space="0" w:color="auto"/>
            <w:left w:val="none" w:sz="0" w:space="0" w:color="auto"/>
            <w:bottom w:val="none" w:sz="0" w:space="0" w:color="auto"/>
            <w:right w:val="none" w:sz="0" w:space="0" w:color="auto"/>
          </w:divBdr>
          <w:divsChild>
            <w:div w:id="149563939">
              <w:marLeft w:val="0"/>
              <w:marRight w:val="0"/>
              <w:marTop w:val="0"/>
              <w:marBottom w:val="0"/>
              <w:divBdr>
                <w:top w:val="none" w:sz="0" w:space="0" w:color="auto"/>
                <w:left w:val="none" w:sz="0" w:space="0" w:color="auto"/>
                <w:bottom w:val="none" w:sz="0" w:space="0" w:color="auto"/>
                <w:right w:val="none" w:sz="0" w:space="0" w:color="auto"/>
              </w:divBdr>
            </w:div>
          </w:divsChild>
        </w:div>
        <w:div w:id="1387223453">
          <w:marLeft w:val="0"/>
          <w:marRight w:val="0"/>
          <w:marTop w:val="0"/>
          <w:marBottom w:val="0"/>
          <w:divBdr>
            <w:top w:val="none" w:sz="0" w:space="0" w:color="auto"/>
            <w:left w:val="none" w:sz="0" w:space="0" w:color="auto"/>
            <w:bottom w:val="none" w:sz="0" w:space="0" w:color="auto"/>
            <w:right w:val="none" w:sz="0" w:space="0" w:color="auto"/>
          </w:divBdr>
          <w:divsChild>
            <w:div w:id="19419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0678">
      <w:bodyDiv w:val="1"/>
      <w:marLeft w:val="0"/>
      <w:marRight w:val="0"/>
      <w:marTop w:val="0"/>
      <w:marBottom w:val="0"/>
      <w:divBdr>
        <w:top w:val="none" w:sz="0" w:space="0" w:color="auto"/>
        <w:left w:val="none" w:sz="0" w:space="0" w:color="auto"/>
        <w:bottom w:val="none" w:sz="0" w:space="0" w:color="auto"/>
        <w:right w:val="none" w:sz="0" w:space="0" w:color="auto"/>
      </w:divBdr>
    </w:div>
    <w:div w:id="1669212946">
      <w:bodyDiv w:val="1"/>
      <w:marLeft w:val="0"/>
      <w:marRight w:val="0"/>
      <w:marTop w:val="0"/>
      <w:marBottom w:val="0"/>
      <w:divBdr>
        <w:top w:val="none" w:sz="0" w:space="0" w:color="auto"/>
        <w:left w:val="none" w:sz="0" w:space="0" w:color="auto"/>
        <w:bottom w:val="none" w:sz="0" w:space="0" w:color="auto"/>
        <w:right w:val="none" w:sz="0" w:space="0" w:color="auto"/>
      </w:divBdr>
      <w:divsChild>
        <w:div w:id="857087343">
          <w:marLeft w:val="0"/>
          <w:marRight w:val="0"/>
          <w:marTop w:val="0"/>
          <w:marBottom w:val="0"/>
          <w:divBdr>
            <w:top w:val="none" w:sz="0" w:space="0" w:color="auto"/>
            <w:left w:val="none" w:sz="0" w:space="0" w:color="auto"/>
            <w:bottom w:val="none" w:sz="0" w:space="0" w:color="auto"/>
            <w:right w:val="none" w:sz="0" w:space="0" w:color="auto"/>
          </w:divBdr>
          <w:divsChild>
            <w:div w:id="1249919812">
              <w:marLeft w:val="0"/>
              <w:marRight w:val="0"/>
              <w:marTop w:val="0"/>
              <w:marBottom w:val="0"/>
              <w:divBdr>
                <w:top w:val="none" w:sz="0" w:space="0" w:color="auto"/>
                <w:left w:val="none" w:sz="0" w:space="0" w:color="auto"/>
                <w:bottom w:val="none" w:sz="0" w:space="0" w:color="auto"/>
                <w:right w:val="none" w:sz="0" w:space="0" w:color="auto"/>
              </w:divBdr>
            </w:div>
          </w:divsChild>
        </w:div>
        <w:div w:id="1695644762">
          <w:marLeft w:val="0"/>
          <w:marRight w:val="0"/>
          <w:marTop w:val="0"/>
          <w:marBottom w:val="0"/>
          <w:divBdr>
            <w:top w:val="none" w:sz="0" w:space="0" w:color="auto"/>
            <w:left w:val="none" w:sz="0" w:space="0" w:color="auto"/>
            <w:bottom w:val="none" w:sz="0" w:space="0" w:color="auto"/>
            <w:right w:val="none" w:sz="0" w:space="0" w:color="auto"/>
          </w:divBdr>
          <w:divsChild>
            <w:div w:id="1241332693">
              <w:marLeft w:val="0"/>
              <w:marRight w:val="0"/>
              <w:marTop w:val="0"/>
              <w:marBottom w:val="0"/>
              <w:divBdr>
                <w:top w:val="none" w:sz="0" w:space="0" w:color="auto"/>
                <w:left w:val="none" w:sz="0" w:space="0" w:color="auto"/>
                <w:bottom w:val="none" w:sz="0" w:space="0" w:color="auto"/>
                <w:right w:val="none" w:sz="0" w:space="0" w:color="auto"/>
              </w:divBdr>
            </w:div>
          </w:divsChild>
        </w:div>
        <w:div w:id="1161582058">
          <w:marLeft w:val="0"/>
          <w:marRight w:val="0"/>
          <w:marTop w:val="0"/>
          <w:marBottom w:val="0"/>
          <w:divBdr>
            <w:top w:val="none" w:sz="0" w:space="0" w:color="auto"/>
            <w:left w:val="none" w:sz="0" w:space="0" w:color="auto"/>
            <w:bottom w:val="none" w:sz="0" w:space="0" w:color="auto"/>
            <w:right w:val="none" w:sz="0" w:space="0" w:color="auto"/>
          </w:divBdr>
          <w:divsChild>
            <w:div w:id="1038579535">
              <w:marLeft w:val="0"/>
              <w:marRight w:val="0"/>
              <w:marTop w:val="0"/>
              <w:marBottom w:val="0"/>
              <w:divBdr>
                <w:top w:val="none" w:sz="0" w:space="0" w:color="auto"/>
                <w:left w:val="none" w:sz="0" w:space="0" w:color="auto"/>
                <w:bottom w:val="none" w:sz="0" w:space="0" w:color="auto"/>
                <w:right w:val="none" w:sz="0" w:space="0" w:color="auto"/>
              </w:divBdr>
            </w:div>
          </w:divsChild>
        </w:div>
        <w:div w:id="603533164">
          <w:marLeft w:val="0"/>
          <w:marRight w:val="0"/>
          <w:marTop w:val="0"/>
          <w:marBottom w:val="0"/>
          <w:divBdr>
            <w:top w:val="none" w:sz="0" w:space="0" w:color="auto"/>
            <w:left w:val="none" w:sz="0" w:space="0" w:color="auto"/>
            <w:bottom w:val="none" w:sz="0" w:space="0" w:color="auto"/>
            <w:right w:val="none" w:sz="0" w:space="0" w:color="auto"/>
          </w:divBdr>
          <w:divsChild>
            <w:div w:id="519390631">
              <w:marLeft w:val="0"/>
              <w:marRight w:val="0"/>
              <w:marTop w:val="0"/>
              <w:marBottom w:val="0"/>
              <w:divBdr>
                <w:top w:val="none" w:sz="0" w:space="0" w:color="auto"/>
                <w:left w:val="none" w:sz="0" w:space="0" w:color="auto"/>
                <w:bottom w:val="none" w:sz="0" w:space="0" w:color="auto"/>
                <w:right w:val="none" w:sz="0" w:space="0" w:color="auto"/>
              </w:divBdr>
            </w:div>
          </w:divsChild>
        </w:div>
        <w:div w:id="894388789">
          <w:marLeft w:val="0"/>
          <w:marRight w:val="0"/>
          <w:marTop w:val="0"/>
          <w:marBottom w:val="0"/>
          <w:divBdr>
            <w:top w:val="none" w:sz="0" w:space="0" w:color="auto"/>
            <w:left w:val="none" w:sz="0" w:space="0" w:color="auto"/>
            <w:bottom w:val="none" w:sz="0" w:space="0" w:color="auto"/>
            <w:right w:val="none" w:sz="0" w:space="0" w:color="auto"/>
          </w:divBdr>
          <w:divsChild>
            <w:div w:id="1268466941">
              <w:marLeft w:val="0"/>
              <w:marRight w:val="0"/>
              <w:marTop w:val="0"/>
              <w:marBottom w:val="0"/>
              <w:divBdr>
                <w:top w:val="none" w:sz="0" w:space="0" w:color="auto"/>
                <w:left w:val="none" w:sz="0" w:space="0" w:color="auto"/>
                <w:bottom w:val="none" w:sz="0" w:space="0" w:color="auto"/>
                <w:right w:val="none" w:sz="0" w:space="0" w:color="auto"/>
              </w:divBdr>
            </w:div>
          </w:divsChild>
        </w:div>
        <w:div w:id="1722438549">
          <w:marLeft w:val="0"/>
          <w:marRight w:val="0"/>
          <w:marTop w:val="0"/>
          <w:marBottom w:val="0"/>
          <w:divBdr>
            <w:top w:val="none" w:sz="0" w:space="0" w:color="auto"/>
            <w:left w:val="none" w:sz="0" w:space="0" w:color="auto"/>
            <w:bottom w:val="none" w:sz="0" w:space="0" w:color="auto"/>
            <w:right w:val="none" w:sz="0" w:space="0" w:color="auto"/>
          </w:divBdr>
          <w:divsChild>
            <w:div w:id="1682077687">
              <w:marLeft w:val="0"/>
              <w:marRight w:val="0"/>
              <w:marTop w:val="0"/>
              <w:marBottom w:val="0"/>
              <w:divBdr>
                <w:top w:val="none" w:sz="0" w:space="0" w:color="auto"/>
                <w:left w:val="none" w:sz="0" w:space="0" w:color="auto"/>
                <w:bottom w:val="none" w:sz="0" w:space="0" w:color="auto"/>
                <w:right w:val="none" w:sz="0" w:space="0" w:color="auto"/>
              </w:divBdr>
            </w:div>
          </w:divsChild>
        </w:div>
        <w:div w:id="463082922">
          <w:marLeft w:val="0"/>
          <w:marRight w:val="0"/>
          <w:marTop w:val="0"/>
          <w:marBottom w:val="0"/>
          <w:divBdr>
            <w:top w:val="none" w:sz="0" w:space="0" w:color="auto"/>
            <w:left w:val="none" w:sz="0" w:space="0" w:color="auto"/>
            <w:bottom w:val="none" w:sz="0" w:space="0" w:color="auto"/>
            <w:right w:val="none" w:sz="0" w:space="0" w:color="auto"/>
          </w:divBdr>
          <w:divsChild>
            <w:div w:id="3469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abakem.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a909d73-c630-45aa-a98e-847a0801f304" xsi:nil="true"/>
    <DateandTime xmlns="9a909d73-c630-45aa-a98e-847a0801f304" xsi:nil="true"/>
    <lcf76f155ced4ddcb4097134ff3c332f xmlns="9a909d73-c630-45aa-a98e-847a0801f304">
      <Terms xmlns="http://schemas.microsoft.com/office/infopath/2007/PartnerControls"/>
    </lcf76f155ced4ddcb4097134ff3c332f>
    <TaxCatchAll xmlns="4a2211ce-a4f7-40b0-9518-b08330cbcfae" xsi:nil="true"/>
    <Dateandtime0 xmlns="9a909d73-c630-45aa-a98e-847a0801f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3C9D3724C6B43BB928A9B072E717D" ma:contentTypeVersion="21" ma:contentTypeDescription="Create a new document." ma:contentTypeScope="" ma:versionID="f760f9ceebd7d2f4cd4ce2ebd58e47cd">
  <xsd:schema xmlns:xsd="http://www.w3.org/2001/XMLSchema" xmlns:xs="http://www.w3.org/2001/XMLSchema" xmlns:p="http://schemas.microsoft.com/office/2006/metadata/properties" xmlns:ns2="9a909d73-c630-45aa-a98e-847a0801f304" xmlns:ns3="4a2211ce-a4f7-40b0-9518-b08330cbcfae" targetNamespace="http://schemas.microsoft.com/office/2006/metadata/properties" ma:root="true" ma:fieldsID="f74002c89803505967ac5c9da98dd12c" ns2:_="" ns3:_="">
    <xsd:import namespace="9a909d73-c630-45aa-a98e-847a0801f304"/>
    <xsd:import namespace="4a2211ce-a4f7-40b0-9518-b08330cbcf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ate" minOccurs="0"/>
                <xsd:element ref="ns2:MediaServiceLocation" minOccurs="0"/>
                <xsd:element ref="ns2:lcf76f155ced4ddcb4097134ff3c332f" minOccurs="0"/>
                <xsd:element ref="ns3:TaxCatchAll" minOccurs="0"/>
                <xsd:element ref="ns2:MediaServiceObjectDetectorVersions" minOccurs="0"/>
                <xsd:element ref="ns2:DateandTime" minOccurs="0"/>
                <xsd:element ref="ns2:MediaServiceSearchProperties" minOccurs="0"/>
                <xsd:element ref="ns2:Dateandtim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09d73-c630-45aa-a98e-847a0801f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fb2c0b8-f749-4064-90e4-769cb02aa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eandTime" ma:index="26" nillable="true" ma:displayName="Date and Time" ma:format="DateOnly"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andtime0" ma:index="28" nillable="true" ma:displayName="Date and time" ma:format="DateOnly" ma:internalName="Dateandtim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2211ce-a4f7-40b0-9518-b08330cbc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7823b2-8dc8-491a-8236-e91bd0e61cba}" ma:internalName="TaxCatchAll" ma:showField="CatchAllData" ma:web="4a2211ce-a4f7-40b0-9518-b08330cbc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F4240-E394-4026-8019-9DA02035FE40}">
  <ds:schemaRefs>
    <ds:schemaRef ds:uri="http://schemas.microsoft.com/sharepoint/v3/contenttype/forms"/>
  </ds:schemaRefs>
</ds:datastoreItem>
</file>

<file path=customXml/itemProps2.xml><?xml version="1.0" encoding="utf-8"?>
<ds:datastoreItem xmlns:ds="http://schemas.openxmlformats.org/officeDocument/2006/customXml" ds:itemID="{71DC6456-C97F-4CB8-B284-CCCCFC3858A2}">
  <ds:schemaRefs>
    <ds:schemaRef ds:uri="http://schemas.microsoft.com/office/2006/metadata/properties"/>
    <ds:schemaRef ds:uri="http://schemas.microsoft.com/office/infopath/2007/PartnerControls"/>
    <ds:schemaRef ds:uri="9a909d73-c630-45aa-a98e-847a0801f304"/>
    <ds:schemaRef ds:uri="4a2211ce-a4f7-40b0-9518-b08330cbcfae"/>
  </ds:schemaRefs>
</ds:datastoreItem>
</file>

<file path=customXml/itemProps3.xml><?xml version="1.0" encoding="utf-8"?>
<ds:datastoreItem xmlns:ds="http://schemas.openxmlformats.org/officeDocument/2006/customXml" ds:itemID="{5060B9A7-06F4-4FB8-8FCE-EF7D81C2BC5B}"/>
</file>

<file path=docProps/app.xml><?xml version="1.0" encoding="utf-8"?>
<Properties xmlns="http://schemas.openxmlformats.org/officeDocument/2006/extended-properties" xmlns:vt="http://schemas.openxmlformats.org/officeDocument/2006/docPropsVTypes">
  <Template>Normal.dotm</Template>
  <TotalTime>16</TotalTime>
  <Pages>6</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Sabakem Glufosinate 400 Herbicide</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Sabakem Glufosinate 400 Herbicide</dc:title>
  <dc:subject>Sabakem Pty Ltd</dc:subject>
  <dc:creator>John Kilford</dc:creator>
  <cp:keywords>Updated to ADG7</cp:keywords>
  <cp:lastModifiedBy>Neha Jakkanagari</cp:lastModifiedBy>
  <cp:revision>11</cp:revision>
  <dcterms:created xsi:type="dcterms:W3CDTF">2024-06-27T04:28:00Z</dcterms:created>
  <dcterms:modified xsi:type="dcterms:W3CDTF">2024-06-27T06:13:00Z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0x010100D363C9D3724C6B43BB928A9B072E717D</vt:lpwstr>
  </property>
  <property fmtid="{D5CDD505-2E9C-101B-9397-08002B2CF9AE}" pid="3" name="MediaServiceImageTags">
    <vt:lpwstr/>
  </property>
</Properties>
</file>